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61495" w14:textId="249ABE9C" w:rsidR="0022017E" w:rsidRPr="00823C0E" w:rsidRDefault="00823C0E">
      <w:pPr>
        <w:rPr>
          <w:rFonts w:ascii="Century Gothic" w:hAnsi="Century Gothic"/>
          <w:b/>
          <w:bCs/>
          <w:color w:val="595959" w:themeColor="text1" w:themeTint="A6"/>
          <w:sz w:val="52"/>
          <w:szCs w:val="52"/>
        </w:rPr>
      </w:pPr>
      <w:r w:rsidRPr="0075550D">
        <w:rPr>
          <w:noProof/>
          <w:color w:val="595959" w:themeColor="text1" w:themeTint="A6"/>
          <w:sz w:val="44"/>
          <w:szCs w:val="44"/>
        </w:rPr>
        <w:drawing>
          <wp:anchor distT="0" distB="0" distL="114300" distR="114300" simplePos="0" relativeHeight="251666432" behindDoc="0" locked="0" layoutInCell="1" allowOverlap="1" wp14:anchorId="1D8E9237" wp14:editId="1902C0B4">
            <wp:simplePos x="0" y="0"/>
            <wp:positionH relativeFrom="column">
              <wp:posOffset>6539948</wp:posOffset>
            </wp:positionH>
            <wp:positionV relativeFrom="paragraph">
              <wp:posOffset>11927</wp:posOffset>
            </wp:positionV>
            <wp:extent cx="2586036" cy="514350"/>
            <wp:effectExtent l="0" t="0" r="5080" b="0"/>
            <wp:wrapNone/>
            <wp:docPr id="3" name="Picture 2">
              <a:hlinkClick xmlns:a="http://schemas.openxmlformats.org/drawingml/2006/main" r:id="rId4"/>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4"/>
                      <a:extLst>
                        <a:ext uri="{FF2B5EF4-FFF2-40B4-BE49-F238E27FC236}">
                          <a16:creationId xmlns:a16="http://schemas.microsoft.com/office/drawing/2014/main" id="{7B94D792-3EDA-514B-9013-055291A76202}"/>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586036" cy="514350"/>
                    </a:xfrm>
                    <a:prstGeom prst="rect">
                      <a:avLst/>
                    </a:prstGeom>
                  </pic:spPr>
                </pic:pic>
              </a:graphicData>
            </a:graphic>
            <wp14:sizeRelH relativeFrom="page">
              <wp14:pctWidth>0</wp14:pctWidth>
            </wp14:sizeRelH>
            <wp14:sizeRelV relativeFrom="page">
              <wp14:pctHeight>0</wp14:pctHeight>
            </wp14:sizeRelV>
          </wp:anchor>
        </w:drawing>
      </w:r>
      <w:r w:rsidRPr="00823C0E">
        <w:rPr>
          <w:rFonts w:ascii="Century Gothic" w:hAnsi="Century Gothic"/>
          <w:b/>
          <w:bCs/>
          <w:noProof/>
          <w:color w:val="000000" w:themeColor="text1"/>
          <w:sz w:val="52"/>
          <w:szCs w:val="52"/>
        </w:rPr>
        <w:drawing>
          <wp:anchor distT="0" distB="0" distL="114300" distR="114300" simplePos="0" relativeHeight="251658239" behindDoc="1" locked="0" layoutInCell="1" allowOverlap="1" wp14:anchorId="41BDD1EC" wp14:editId="25F2A1B9">
            <wp:simplePos x="0" y="0"/>
            <wp:positionH relativeFrom="column">
              <wp:posOffset>-789940</wp:posOffset>
            </wp:positionH>
            <wp:positionV relativeFrom="paragraph">
              <wp:posOffset>-762000</wp:posOffset>
            </wp:positionV>
            <wp:extent cx="10820400" cy="8361733"/>
            <wp:effectExtent l="0" t="0" r="0" b="127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20400" cy="8361733"/>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color w:val="595959" w:themeColor="text1" w:themeTint="A6"/>
          <w:sz w:val="52"/>
        </w:rPr>
        <w:t xml:space="preserve">MODELLO DI CASE STUDY SEMPLICE </w:t>
      </w:r>
      <w:r w:rsidR="00F636B3">
        <w:rPr>
          <w:rFonts w:ascii="Century Gothic" w:hAnsi="Century Gothic"/>
          <w:b/>
          <w:color w:val="595959" w:themeColor="text1" w:themeTint="A6"/>
          <w:sz w:val="52"/>
        </w:rPr>
        <w:br/>
      </w:r>
      <w:r>
        <w:rPr>
          <w:rFonts w:ascii="Century Gothic" w:hAnsi="Century Gothic"/>
          <w:b/>
          <w:color w:val="595959" w:themeColor="text1" w:themeTint="A6"/>
          <w:sz w:val="52"/>
        </w:rPr>
        <w:t>per Microsoft Word ESEMPIO</w:t>
      </w:r>
    </w:p>
    <w:p w14:paraId="198C8B67" w14:textId="267C8275" w:rsidR="00762D74" w:rsidRDefault="00762D74">
      <w:pPr>
        <w:rPr>
          <w:rFonts w:ascii="Century Gothic" w:hAnsi="Century Gothic"/>
          <w:b/>
          <w:bCs/>
          <w:color w:val="595959" w:themeColor="text1" w:themeTint="A6"/>
          <w:sz w:val="44"/>
          <w:szCs w:val="44"/>
        </w:rPr>
      </w:pPr>
    </w:p>
    <w:p w14:paraId="2B513E80" w14:textId="3B21A2A7" w:rsidR="00762D74" w:rsidRDefault="00762D74">
      <w:pPr>
        <w:rPr>
          <w:rFonts w:ascii="Century Gothic" w:hAnsi="Century Gothic"/>
          <w:color w:val="2E74B5" w:themeColor="accent5" w:themeShade="BF"/>
          <w:sz w:val="84"/>
          <w:szCs w:val="84"/>
        </w:rPr>
      </w:pPr>
      <w:r>
        <w:rPr>
          <w:rFonts w:ascii="Century Gothic" w:hAnsi="Century Gothic"/>
          <w:color w:val="2E74B5" w:themeColor="accent5" w:themeShade="BF"/>
          <w:sz w:val="84"/>
        </w:rPr>
        <w:t xml:space="preserve">[ </w:t>
      </w:r>
      <w:r w:rsidR="00EE1FEC">
        <w:rPr>
          <w:rFonts w:ascii="Century Gothic" w:hAnsi="Century Gothic"/>
          <w:color w:val="2E74B5" w:themeColor="accent5" w:themeShade="BF"/>
          <w:sz w:val="64"/>
          <w:szCs w:val="64"/>
        </w:rPr>
        <w:t>POTENZIARE LE FLOTTE ELETTRICHE CON SOLUZIONI DI RICARICA EFFICIENTI</w:t>
      </w:r>
      <w:r>
        <w:rPr>
          <w:rFonts w:ascii="Century Gothic" w:hAnsi="Century Gothic"/>
          <w:color w:val="2E74B5" w:themeColor="accent5" w:themeShade="BF"/>
          <w:sz w:val="84"/>
        </w:rPr>
        <w:t xml:space="preserve"> ]</w:t>
      </w:r>
    </w:p>
    <w:p w14:paraId="3B9EA348" w14:textId="414194CD" w:rsidR="00762D74" w:rsidRPr="00762D74" w:rsidRDefault="00762D74">
      <w:pPr>
        <w:rPr>
          <w:rFonts w:ascii="Century Gothic" w:hAnsi="Century Gothic"/>
          <w:color w:val="2E74B5" w:themeColor="accent5" w:themeShade="BF"/>
          <w:sz w:val="84"/>
          <w:szCs w:val="84"/>
        </w:rPr>
      </w:pPr>
    </w:p>
    <w:tbl>
      <w:tblPr>
        <w:tblStyle w:val="TableGrid"/>
        <w:tblW w:w="14305" w:type="dxa"/>
        <w:tblLook w:val="04A0" w:firstRow="1" w:lastRow="0" w:firstColumn="1" w:lastColumn="0" w:noHBand="0" w:noVBand="1"/>
      </w:tblPr>
      <w:tblGrid>
        <w:gridCol w:w="3595"/>
        <w:gridCol w:w="10710"/>
      </w:tblGrid>
      <w:tr w:rsidR="00823C0E" w:rsidRPr="00E327DC" w14:paraId="7FA42F3D" w14:textId="77777777" w:rsidTr="00823C0E">
        <w:trPr>
          <w:trHeight w:val="1440"/>
        </w:trPr>
        <w:tc>
          <w:tcPr>
            <w:tcW w:w="3595" w:type="dxa"/>
            <w:shd w:val="clear" w:color="auto" w:fill="FFF2CC" w:themeFill="accent4" w:themeFillTint="33"/>
            <w:vAlign w:val="center"/>
          </w:tcPr>
          <w:p w14:paraId="2B08B5DB" w14:textId="3B657CC9" w:rsidR="00823C0E" w:rsidRPr="00E327DC" w:rsidRDefault="00823C0E" w:rsidP="00E327DC">
            <w:pPr>
              <w:jc w:val="right"/>
              <w:rPr>
                <w:rFonts w:ascii="Century Gothic" w:hAnsi="Century Gothic"/>
                <w:color w:val="2E74B5" w:themeColor="accent5" w:themeShade="BF"/>
                <w:sz w:val="24"/>
                <w:szCs w:val="24"/>
              </w:rPr>
            </w:pPr>
            <w:r>
              <w:rPr>
                <w:rFonts w:ascii="Century Gothic" w:hAnsi="Century Gothic"/>
                <w:color w:val="2E74B5" w:themeColor="accent5" w:themeShade="BF"/>
                <w:sz w:val="24"/>
              </w:rPr>
              <w:t>TITOLO</w:t>
            </w:r>
          </w:p>
        </w:tc>
        <w:tc>
          <w:tcPr>
            <w:tcW w:w="10710" w:type="dxa"/>
            <w:shd w:val="clear" w:color="auto" w:fill="F2F2F2" w:themeFill="background1" w:themeFillShade="F2"/>
            <w:vAlign w:val="center"/>
          </w:tcPr>
          <w:p w14:paraId="08354BA8" w14:textId="03842F37" w:rsidR="00823C0E" w:rsidRPr="00E327DC" w:rsidRDefault="00EE1FEC">
            <w:pPr>
              <w:rPr>
                <w:rFonts w:ascii="Century Gothic" w:hAnsi="Century Gothic"/>
                <w:color w:val="595959" w:themeColor="text1" w:themeTint="A6"/>
                <w:sz w:val="24"/>
                <w:szCs w:val="24"/>
              </w:rPr>
            </w:pPr>
            <w:r>
              <w:rPr>
                <w:rFonts w:ascii="Century Gothic" w:hAnsi="Century Gothic"/>
                <w:color w:val="595959" w:themeColor="text1" w:themeTint="A6"/>
                <w:sz w:val="24"/>
              </w:rPr>
              <w:t>Case study marketing: potenziare le flotte elettriche con soluzioni di ricarica efficienti</w:t>
            </w:r>
          </w:p>
        </w:tc>
      </w:tr>
      <w:tr w:rsidR="00823C0E" w:rsidRPr="00E327DC" w14:paraId="51BF33B8" w14:textId="77777777" w:rsidTr="00823C0E">
        <w:trPr>
          <w:trHeight w:val="1440"/>
        </w:trPr>
        <w:tc>
          <w:tcPr>
            <w:tcW w:w="3595" w:type="dxa"/>
            <w:shd w:val="clear" w:color="auto" w:fill="FFF2CC" w:themeFill="accent4" w:themeFillTint="33"/>
            <w:vAlign w:val="center"/>
          </w:tcPr>
          <w:p w14:paraId="58B534BD" w14:textId="3D50A061" w:rsidR="00823C0E" w:rsidRPr="00E327DC" w:rsidRDefault="00823C0E" w:rsidP="00E327DC">
            <w:pPr>
              <w:jc w:val="right"/>
              <w:rPr>
                <w:rFonts w:ascii="Century Gothic" w:hAnsi="Century Gothic"/>
                <w:color w:val="2E74B5" w:themeColor="accent5" w:themeShade="BF"/>
                <w:sz w:val="24"/>
                <w:szCs w:val="24"/>
              </w:rPr>
            </w:pPr>
            <w:r>
              <w:rPr>
                <w:rFonts w:ascii="Century Gothic" w:hAnsi="Century Gothic"/>
                <w:color w:val="2E74B5" w:themeColor="accent5" w:themeShade="BF"/>
                <w:sz w:val="24"/>
              </w:rPr>
              <w:t>A CURA DI</w:t>
            </w:r>
          </w:p>
        </w:tc>
        <w:tc>
          <w:tcPr>
            <w:tcW w:w="10710" w:type="dxa"/>
            <w:shd w:val="clear" w:color="auto" w:fill="F2F2F2" w:themeFill="background1" w:themeFillShade="F2"/>
            <w:vAlign w:val="center"/>
          </w:tcPr>
          <w:p w14:paraId="3AB520FC" w14:textId="357B474E" w:rsidR="00823C0E" w:rsidRPr="00E327DC" w:rsidRDefault="00EE1FEC" w:rsidP="00E327DC">
            <w:pPr>
              <w:rPr>
                <w:rFonts w:ascii="Century Gothic" w:hAnsi="Century Gothic"/>
                <w:color w:val="595959" w:themeColor="text1" w:themeTint="A6"/>
                <w:sz w:val="24"/>
                <w:szCs w:val="24"/>
              </w:rPr>
            </w:pPr>
            <w:r>
              <w:rPr>
                <w:rFonts w:ascii="Century Gothic" w:hAnsi="Century Gothic"/>
                <w:color w:val="595959" w:themeColor="text1" w:themeTint="A6"/>
                <w:sz w:val="24"/>
              </w:rPr>
              <w:t>Lori Garcia</w:t>
            </w:r>
          </w:p>
        </w:tc>
      </w:tr>
      <w:tr w:rsidR="00823C0E" w:rsidRPr="00E327DC" w14:paraId="6A035C60" w14:textId="77777777" w:rsidTr="00823C0E">
        <w:trPr>
          <w:trHeight w:val="1440"/>
        </w:trPr>
        <w:tc>
          <w:tcPr>
            <w:tcW w:w="3595" w:type="dxa"/>
            <w:shd w:val="clear" w:color="auto" w:fill="FFF2CC" w:themeFill="accent4" w:themeFillTint="33"/>
            <w:vAlign w:val="center"/>
          </w:tcPr>
          <w:p w14:paraId="2F300152" w14:textId="104FE2E0" w:rsidR="00823C0E" w:rsidRPr="00E327DC" w:rsidRDefault="00823C0E" w:rsidP="00E327DC">
            <w:pPr>
              <w:jc w:val="right"/>
              <w:rPr>
                <w:rFonts w:ascii="Century Gothic" w:hAnsi="Century Gothic"/>
                <w:color w:val="2E74B5" w:themeColor="accent5" w:themeShade="BF"/>
                <w:sz w:val="24"/>
                <w:szCs w:val="24"/>
              </w:rPr>
            </w:pPr>
            <w:r>
              <w:rPr>
                <w:rFonts w:ascii="Century Gothic" w:hAnsi="Century Gothic"/>
                <w:color w:val="2E74B5" w:themeColor="accent5" w:themeShade="BF"/>
                <w:sz w:val="24"/>
              </w:rPr>
              <w:t>DATA</w:t>
            </w:r>
          </w:p>
        </w:tc>
        <w:tc>
          <w:tcPr>
            <w:tcW w:w="10710" w:type="dxa"/>
            <w:shd w:val="clear" w:color="auto" w:fill="F2F2F2" w:themeFill="background1" w:themeFillShade="F2"/>
            <w:vAlign w:val="center"/>
          </w:tcPr>
          <w:p w14:paraId="5FAF7AB5" w14:textId="70ABE0E2" w:rsidR="00823C0E" w:rsidRPr="00E327DC" w:rsidRDefault="00823C0E" w:rsidP="00E327DC">
            <w:pPr>
              <w:rPr>
                <w:rFonts w:ascii="Century Gothic" w:hAnsi="Century Gothic"/>
                <w:color w:val="595959" w:themeColor="text1" w:themeTint="A6"/>
                <w:sz w:val="24"/>
                <w:szCs w:val="24"/>
              </w:rPr>
            </w:pPr>
            <w:r>
              <w:rPr>
                <w:rFonts w:ascii="Century Gothic" w:hAnsi="Century Gothic"/>
                <w:color w:val="595959" w:themeColor="text1" w:themeTint="A6"/>
                <w:sz w:val="24"/>
              </w:rPr>
              <w:t>GG/MM/AA</w:t>
            </w:r>
          </w:p>
        </w:tc>
      </w:tr>
    </w:tbl>
    <w:p w14:paraId="7A2D2479" w14:textId="2A8D30CE" w:rsidR="00E327DC" w:rsidRDefault="00E327DC">
      <w:pPr>
        <w:rPr>
          <w:rFonts w:ascii="Century Gothic" w:hAnsi="Century Gothic"/>
          <w:b/>
          <w:bCs/>
          <w:color w:val="595959" w:themeColor="text1" w:themeTint="A6"/>
          <w:sz w:val="24"/>
          <w:szCs w:val="24"/>
        </w:rPr>
      </w:pPr>
    </w:p>
    <w:p w14:paraId="3675EBE4" w14:textId="21F9CABC" w:rsidR="00762D74" w:rsidRDefault="00762D74">
      <w:pPr>
        <w:rPr>
          <w:rFonts w:ascii="Century Gothic" w:hAnsi="Century Gothic"/>
          <w:b/>
          <w:bCs/>
          <w:color w:val="595959" w:themeColor="text1" w:themeTint="A6"/>
          <w:sz w:val="24"/>
          <w:szCs w:val="24"/>
        </w:rPr>
      </w:pPr>
    </w:p>
    <w:tbl>
      <w:tblPr>
        <w:tblStyle w:val="TableGrid"/>
        <w:tblW w:w="14575" w:type="dxa"/>
        <w:tblLook w:val="04A0" w:firstRow="1" w:lastRow="0" w:firstColumn="1" w:lastColumn="0" w:noHBand="0" w:noVBand="1"/>
      </w:tblPr>
      <w:tblGrid>
        <w:gridCol w:w="3595"/>
        <w:gridCol w:w="10980"/>
      </w:tblGrid>
      <w:tr w:rsidR="00762D74" w:rsidRPr="00E327DC" w14:paraId="688745BA"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39139D5F" w14:textId="37DF25C8" w:rsidR="00762D74" w:rsidRPr="00E327DC" w:rsidRDefault="00762D74" w:rsidP="001647D3">
            <w:pPr>
              <w:jc w:val="right"/>
              <w:rPr>
                <w:rFonts w:ascii="Century Gothic" w:hAnsi="Century Gothic"/>
                <w:color w:val="2E74B5" w:themeColor="accent5" w:themeShade="BF"/>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rPr>
              <w:t>INTRODUZIONE</w:t>
            </w:r>
          </w:p>
        </w:tc>
        <w:tc>
          <w:tcPr>
            <w:tcW w:w="10980" w:type="dxa"/>
            <w:tcBorders>
              <w:left w:val="threeDEmboss" w:sz="24" w:space="0" w:color="BF8F00" w:themeColor="accent4" w:themeShade="BF"/>
            </w:tcBorders>
            <w:vAlign w:val="center"/>
          </w:tcPr>
          <w:p w14:paraId="40892618" w14:textId="0975DF4B" w:rsidR="00762D74" w:rsidRPr="00E327DC" w:rsidRDefault="00EE1FEC" w:rsidP="00823C0E">
            <w:pPr>
              <w:ind w:left="255"/>
              <w:rPr>
                <w:rFonts w:ascii="Century Gothic" w:hAnsi="Century Gothic"/>
                <w:color w:val="595959" w:themeColor="text1" w:themeTint="A6"/>
                <w:sz w:val="24"/>
                <w:szCs w:val="24"/>
              </w:rPr>
            </w:pPr>
            <w:r>
              <w:rPr>
                <w:rFonts w:ascii="Century Gothic" w:hAnsi="Century Gothic"/>
                <w:color w:val="595959" w:themeColor="text1" w:themeTint="A6"/>
                <w:sz w:val="24"/>
              </w:rPr>
              <w:t>In questo case study marketing esploriamo la partnership di successo di Positive Charge con una società che gestisce una flotta di veicoli elettrici. Scopri come le nostre soluzioni di ricarica per EV su misura hanno affrontato le loro sfide uniche e trasformato le loro operazioni.</w:t>
            </w:r>
          </w:p>
        </w:tc>
      </w:tr>
      <w:tr w:rsidR="00823C0E" w:rsidRPr="00E327DC" w14:paraId="1FE45C82"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494890FF" w14:textId="602FA0A1"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rPr>
              <w:t>SFIDA/OPPORTUNITÀ DEL CLIENTE</w:t>
            </w:r>
          </w:p>
        </w:tc>
        <w:tc>
          <w:tcPr>
            <w:tcW w:w="10980" w:type="dxa"/>
            <w:tcBorders>
              <w:left w:val="threeDEmboss" w:sz="24" w:space="0" w:color="BF8F00" w:themeColor="accent4" w:themeShade="BF"/>
            </w:tcBorders>
            <w:vAlign w:val="center"/>
          </w:tcPr>
          <w:p w14:paraId="7FEF718E" w14:textId="4BBB2C63" w:rsidR="00823C0E" w:rsidRPr="00E327DC" w:rsidRDefault="00EE1FEC" w:rsidP="00823C0E">
            <w:pPr>
              <w:ind w:left="255"/>
              <w:rPr>
                <w:rFonts w:ascii="Century Gothic" w:hAnsi="Century Gothic"/>
                <w:color w:val="595959" w:themeColor="text1" w:themeTint="A6"/>
                <w:sz w:val="24"/>
                <w:szCs w:val="24"/>
              </w:rPr>
            </w:pPr>
            <w:r>
              <w:rPr>
                <w:rFonts w:ascii="Century Gothic" w:hAnsi="Century Gothic"/>
                <w:color w:val="595959" w:themeColor="text1" w:themeTint="A6"/>
                <w:sz w:val="24"/>
              </w:rPr>
              <w:t>Il cliente, un’azienda che gestisce una flotta di veicoli elettrici, stava affrontando una sfida significativa a causa della rapida crescita della sua flotta di veicoli elettrici. Le limitazioni dell’infrastruttura di ricarica stavano causando colli di bottiglia e influenzando i tempi di attività e l’efficienza operativa della flotta.</w:t>
            </w:r>
          </w:p>
        </w:tc>
      </w:tr>
      <w:tr w:rsidR="00823C0E" w:rsidRPr="00E327DC" w14:paraId="2BB5661E"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629FCC36" w14:textId="02FBC489"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rPr>
              <w:t>STRATEGIE DI MARKETING</w:t>
            </w:r>
          </w:p>
        </w:tc>
        <w:tc>
          <w:tcPr>
            <w:tcW w:w="10980" w:type="dxa"/>
            <w:tcBorders>
              <w:left w:val="threeDEmboss" w:sz="24" w:space="0" w:color="BF8F00" w:themeColor="accent4" w:themeShade="BF"/>
            </w:tcBorders>
            <w:vAlign w:val="center"/>
          </w:tcPr>
          <w:p w14:paraId="276A1507" w14:textId="190A4A98" w:rsidR="00823C0E" w:rsidRPr="00E327DC" w:rsidRDefault="00EE1FEC" w:rsidP="00823C0E">
            <w:pPr>
              <w:ind w:left="255"/>
              <w:rPr>
                <w:rFonts w:ascii="Century Gothic" w:hAnsi="Century Gothic"/>
                <w:color w:val="595959" w:themeColor="text1" w:themeTint="A6"/>
                <w:sz w:val="24"/>
                <w:szCs w:val="24"/>
              </w:rPr>
            </w:pPr>
            <w:r>
              <w:rPr>
                <w:rFonts w:ascii="Century Gothic" w:hAnsi="Century Gothic"/>
                <w:color w:val="595959" w:themeColor="text1" w:themeTint="A6"/>
                <w:sz w:val="24"/>
              </w:rPr>
              <w:t>Positive Charge ha ideato una strategia di marketing completa per affrontare efficacemente la sfida. Le nostre strategie si sono concentrate sul fornire soluzioni di ricarica per EV pronte all’uso personalizzate per le esigenze e le sfide specifiche del cliente.</w:t>
            </w:r>
          </w:p>
        </w:tc>
      </w:tr>
      <w:tr w:rsidR="00823C0E" w:rsidRPr="00E327DC" w14:paraId="79163858"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77E8567C" w14:textId="24A40FE8"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rPr>
              <w:t>RISULTATI E IMPATTO</w:t>
            </w:r>
          </w:p>
        </w:tc>
        <w:tc>
          <w:tcPr>
            <w:tcW w:w="10980" w:type="dxa"/>
            <w:tcBorders>
              <w:left w:val="threeDEmboss" w:sz="24" w:space="0" w:color="BF8F00" w:themeColor="accent4" w:themeShade="BF"/>
            </w:tcBorders>
            <w:vAlign w:val="center"/>
          </w:tcPr>
          <w:p w14:paraId="274ABBE0" w14:textId="017CB5C0" w:rsidR="00823C0E" w:rsidRPr="00E327DC" w:rsidRDefault="00EE1FEC" w:rsidP="00823C0E">
            <w:pPr>
              <w:ind w:left="255"/>
              <w:rPr>
                <w:rFonts w:ascii="Century Gothic" w:hAnsi="Century Gothic"/>
                <w:color w:val="595959" w:themeColor="text1" w:themeTint="A6"/>
                <w:sz w:val="24"/>
                <w:szCs w:val="24"/>
              </w:rPr>
            </w:pPr>
            <w:r>
              <w:rPr>
                <w:rFonts w:ascii="Century Gothic" w:hAnsi="Century Gothic"/>
                <w:color w:val="595959" w:themeColor="text1" w:themeTint="A6"/>
                <w:sz w:val="24"/>
              </w:rPr>
              <w:t>I risultati sono stati notevoli. Grazie ai nostri sforzi di marketing, il cliente ha riscontrato una riduzione del 50% dei tempi di inattività legati alla ricarica, con notevoli risparmi sui costi. Inoltre, le nostre strategie hanno portato a un aumento del 60% dei lead da parte degli operatori alla ricerca di soluzioni simili.</w:t>
            </w:r>
          </w:p>
        </w:tc>
      </w:tr>
      <w:tr w:rsidR="00823C0E" w:rsidRPr="00E327DC" w14:paraId="5BBA5C9E"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46B51AC4" w14:textId="602F04C7"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rPr>
              <w:t>CALL TO ACTION (CTA) - (Chiamata/Invito all’azione)</w:t>
            </w:r>
          </w:p>
        </w:tc>
        <w:tc>
          <w:tcPr>
            <w:tcW w:w="10980" w:type="dxa"/>
            <w:tcBorders>
              <w:left w:val="threeDEmboss" w:sz="24" w:space="0" w:color="BF8F00" w:themeColor="accent4" w:themeShade="BF"/>
            </w:tcBorders>
            <w:vAlign w:val="center"/>
          </w:tcPr>
          <w:p w14:paraId="2CD0A799" w14:textId="29149D31" w:rsidR="00823C0E" w:rsidRPr="00E327DC" w:rsidRDefault="00EE1FEC" w:rsidP="00823C0E">
            <w:pPr>
              <w:ind w:left="255"/>
              <w:rPr>
                <w:rFonts w:ascii="Century Gothic" w:hAnsi="Century Gothic"/>
                <w:color w:val="595959" w:themeColor="text1" w:themeTint="A6"/>
                <w:sz w:val="24"/>
                <w:szCs w:val="24"/>
              </w:rPr>
            </w:pPr>
            <w:r>
              <w:rPr>
                <w:rFonts w:ascii="Century Gothic" w:hAnsi="Century Gothic"/>
                <w:color w:val="595959" w:themeColor="text1" w:themeTint="A6"/>
                <w:sz w:val="24"/>
              </w:rPr>
              <w:t>Compi con noi il passo successivo verso la trasformazione delle operazioni della tua flotta EV. Contattaci oggi stesso per esplorare le nostre soluzioni di ricarica per EV personalizzate che promuovono efficienza e risparmio sui costi per la tua attività.</w:t>
            </w:r>
          </w:p>
        </w:tc>
      </w:tr>
    </w:tbl>
    <w:p w14:paraId="63FDCD72" w14:textId="77777777" w:rsidR="00823C0E" w:rsidRDefault="00823C0E">
      <w:pPr>
        <w:rPr>
          <w:rFonts w:ascii="Century Gothic" w:hAnsi="Century Gothic"/>
          <w:b/>
          <w:bCs/>
          <w:color w:val="595959" w:themeColor="text1" w:themeTint="A6"/>
          <w:sz w:val="24"/>
          <w:szCs w:val="24"/>
        </w:rPr>
      </w:pPr>
    </w:p>
    <w:p w14:paraId="3DE3E235" w14:textId="77777777" w:rsidR="00823C0E" w:rsidRDefault="00823C0E">
      <w:pPr>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3D706E" w14:paraId="3EE5D30F" w14:textId="77777777" w:rsidTr="00515C0D">
        <w:trPr>
          <w:trHeight w:val="2706"/>
        </w:trPr>
        <w:tc>
          <w:tcPr>
            <w:tcW w:w="14130" w:type="dxa"/>
          </w:tcPr>
          <w:p w14:paraId="299E2D02" w14:textId="77777777" w:rsidR="00515C0D" w:rsidRPr="003D706E" w:rsidRDefault="00515C0D" w:rsidP="001647D3">
            <w:pPr>
              <w:jc w:val="center"/>
              <w:rPr>
                <w:rFonts w:ascii="Century Gothic" w:hAnsi="Century Gothic" w:cs="Arial"/>
                <w:b/>
                <w:color w:val="000000" w:themeColor="text1"/>
                <w:sz w:val="20"/>
                <w:szCs w:val="20"/>
              </w:rPr>
            </w:pPr>
            <w:r>
              <w:rPr>
                <w:rFonts w:ascii="Century Gothic" w:hAnsi="Century Gothic"/>
                <w:b/>
                <w:color w:val="000000" w:themeColor="text1"/>
                <w:sz w:val="20"/>
              </w:rPr>
              <w:lastRenderedPageBreak/>
              <w:t>DICHIARAZIONE DI NON RESPONSABILITÀ</w:t>
            </w:r>
          </w:p>
          <w:p w14:paraId="343171A1" w14:textId="77777777" w:rsidR="00515C0D" w:rsidRPr="003D706E" w:rsidRDefault="00515C0D" w:rsidP="001647D3">
            <w:pPr>
              <w:rPr>
                <w:rFonts w:ascii="Century Gothic" w:hAnsi="Century Gothic" w:cs="Arial"/>
                <w:color w:val="000000" w:themeColor="text1"/>
                <w:szCs w:val="20"/>
              </w:rPr>
            </w:pPr>
          </w:p>
          <w:p w14:paraId="67E10766" w14:textId="1A458251" w:rsidR="00515C0D" w:rsidRPr="003D706E" w:rsidRDefault="00515C0D" w:rsidP="001647D3">
            <w:pPr>
              <w:rPr>
                <w:rFonts w:ascii="Century Gothic" w:hAnsi="Century Gothic" w:cs="Arial"/>
                <w:color w:val="000000" w:themeColor="text1"/>
                <w:sz w:val="20"/>
                <w:szCs w:val="20"/>
              </w:rPr>
            </w:pPr>
            <w:r>
              <w:rPr>
                <w:rFonts w:ascii="Century Gothic" w:hAnsi="Century Gothic"/>
                <w:color w:val="000000" w:themeColor="text1"/>
              </w:rPr>
              <w:t>Qualsiasi articolo, modello o informazione è fornito da Smartsheet sul sito web solo come riferimento. Pur adoperandoci per mantenere le informazioni aggiornate e corrette, non offriamo alcuna garanzia o dichiarazione di alcun tipo, esplicita o implicita, relativamente alla completezza, l’accuratezza, l’affidabilità, l’idoneità o la disponibilità rispetto al sito web o le informazioni, gli articoli, i modelli o la relativa grafica contenuti nel sito. Qualsiasi affidamento si faccia su tali informazioni è pertanto strettamente a proprio rischio.</w:t>
            </w:r>
          </w:p>
        </w:tc>
      </w:tr>
    </w:tbl>
    <w:p w14:paraId="11DEBBB9" w14:textId="77777777" w:rsidR="00515C0D" w:rsidRPr="003D706E" w:rsidRDefault="00515C0D" w:rsidP="00515C0D">
      <w:pPr>
        <w:rPr>
          <w:rFonts w:ascii="Century Gothic" w:hAnsi="Century Gothic"/>
          <w:b/>
          <w:color w:val="000000" w:themeColor="text1"/>
          <w:sz w:val="32"/>
          <w:szCs w:val="44"/>
        </w:rPr>
      </w:pPr>
    </w:p>
    <w:p w14:paraId="5418DEB4" w14:textId="597B3386" w:rsidR="00762D74" w:rsidRPr="00762D74" w:rsidRDefault="00762D74">
      <w:pPr>
        <w:rPr>
          <w:rFonts w:ascii="Century Gothic" w:hAnsi="Century Gothic"/>
          <w:b/>
          <w:bCs/>
          <w:color w:val="595959" w:themeColor="text1" w:themeTint="A6"/>
          <w:sz w:val="24"/>
          <w:szCs w:val="24"/>
        </w:rPr>
      </w:pPr>
    </w:p>
    <w:sectPr w:rsidR="00762D74" w:rsidRPr="00762D74" w:rsidSect="00A1594C">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122BE0"/>
    <w:rsid w:val="001E6C3B"/>
    <w:rsid w:val="0022017E"/>
    <w:rsid w:val="002E1AA8"/>
    <w:rsid w:val="004A7DA5"/>
    <w:rsid w:val="004B535F"/>
    <w:rsid w:val="00515C0D"/>
    <w:rsid w:val="006E6A9B"/>
    <w:rsid w:val="0074342C"/>
    <w:rsid w:val="00762D74"/>
    <w:rsid w:val="00823C0E"/>
    <w:rsid w:val="008A154C"/>
    <w:rsid w:val="009217E9"/>
    <w:rsid w:val="009D4580"/>
    <w:rsid w:val="00A1594C"/>
    <w:rsid w:val="00A93C31"/>
    <w:rsid w:val="00B077D3"/>
    <w:rsid w:val="00CB048B"/>
    <w:rsid w:val="00D2241B"/>
    <w:rsid w:val="00DE6F6A"/>
    <w:rsid w:val="00E327DC"/>
    <w:rsid w:val="00EE1FEC"/>
    <w:rsid w:val="00F636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it.smartsheet.com/try-it?trp=38127"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371</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Mira Li</cp:lastModifiedBy>
  <cp:revision>12</cp:revision>
  <dcterms:created xsi:type="dcterms:W3CDTF">2024-01-09T19:14:00Z</dcterms:created>
  <dcterms:modified xsi:type="dcterms:W3CDTF">2025-01-05T11:55:00Z</dcterms:modified>
</cp:coreProperties>
</file>