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78005" w14:textId="5D48BE97" w:rsidR="0022017E" w:rsidRDefault="00960512" w:rsidP="002D29F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75550D">
        <w:rPr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2543EB43" wp14:editId="15B07728">
            <wp:simplePos x="0" y="0"/>
            <wp:positionH relativeFrom="column">
              <wp:posOffset>4880458</wp:posOffset>
            </wp:positionH>
            <wp:positionV relativeFrom="paragraph">
              <wp:posOffset>-62230</wp:posOffset>
            </wp:positionV>
            <wp:extent cx="2160000" cy="429170"/>
            <wp:effectExtent l="0" t="0" r="0" b="9525"/>
            <wp:wrapNone/>
            <wp:docPr id="3" name="Picture 2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7B94D792-3EDA-514B-9013-055291A76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6"/>
                      <a:extLst>
                        <a:ext uri="{FF2B5EF4-FFF2-40B4-BE49-F238E27FC236}">
                          <a16:creationId xmlns:a16="http://schemas.microsoft.com/office/drawing/2014/main" id="{7B94D792-3EDA-514B-9013-055291A76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F13">
        <w:rPr>
          <w:rFonts w:ascii="Century Gothic" w:hAnsi="Century Gothic"/>
          <w:b/>
          <w:color w:val="595959" w:themeColor="text1" w:themeTint="A6"/>
          <w:sz w:val="44"/>
        </w:rPr>
        <w:t xml:space="preserve">MODELLO DI </w:t>
      </w:r>
      <w:r w:rsidR="00383E5D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76B9B2B" wp14:editId="0332C3AF">
            <wp:simplePos x="0" y="0"/>
            <wp:positionH relativeFrom="column">
              <wp:posOffset>-552450</wp:posOffset>
            </wp:positionH>
            <wp:positionV relativeFrom="paragraph">
              <wp:posOffset>-493025</wp:posOffset>
            </wp:positionV>
            <wp:extent cx="7952740" cy="10291075"/>
            <wp:effectExtent l="0" t="0" r="0" b="0"/>
            <wp:wrapNone/>
            <wp:docPr id="2134357195" name="Picture 2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57195" name="Picture 2" descr="A group of people looking at a computer&#10;&#10;Description automatically generated"/>
                    <pic:cNvPicPr/>
                  </pic:nvPicPr>
                  <pic:blipFill>
                    <a:blip r:embed="rId8" cstate="print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123" cy="102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13">
        <w:rPr>
          <w:rFonts w:ascii="Century Gothic" w:hAnsi="Century Gothic"/>
          <w:b/>
          <w:color w:val="595959" w:themeColor="text1" w:themeTint="A6"/>
          <w:sz w:val="44"/>
        </w:rPr>
        <w:t xml:space="preserve">CASE STUDY DI </w:t>
      </w:r>
      <w:r>
        <w:rPr>
          <w:rFonts w:ascii="Century Gothic" w:hAnsi="Century Gothic"/>
          <w:b/>
          <w:color w:val="595959" w:themeColor="text1" w:themeTint="A6"/>
          <w:sz w:val="44"/>
        </w:rPr>
        <w:br/>
      </w:r>
      <w:r w:rsidR="00290F13">
        <w:rPr>
          <w:rFonts w:ascii="Century Gothic" w:hAnsi="Century Gothic"/>
          <w:b/>
          <w:color w:val="595959" w:themeColor="text1" w:themeTint="A6"/>
          <w:sz w:val="44"/>
        </w:rPr>
        <w:t>MARKETING per Microsoft Word ESEMPIO</w:t>
      </w:r>
    </w:p>
    <w:p w14:paraId="08C22539" w14:textId="59D7BCF2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117CCD7A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714056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36F0514D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C7EEC89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7CB6FE97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73F8606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C461160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957BC3E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A2F7CD6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9B48394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2F04756" w14:textId="77777777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419B9B0" w14:textId="633CCDF4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84"/>
          <w:szCs w:val="84"/>
        </w:rPr>
      </w:pPr>
      <w:proofErr w:type="gramStart"/>
      <w:r>
        <w:rPr>
          <w:rFonts w:ascii="Century Gothic" w:hAnsi="Century Gothic"/>
          <w:b/>
          <w:color w:val="595959" w:themeColor="text1" w:themeTint="A6"/>
          <w:sz w:val="84"/>
        </w:rPr>
        <w:t>[ Ricaricare</w:t>
      </w:r>
      <w:proofErr w:type="gramEnd"/>
      <w:r>
        <w:rPr>
          <w:rFonts w:ascii="Century Gothic" w:hAnsi="Century Gothic"/>
          <w:b/>
          <w:color w:val="595959" w:themeColor="text1" w:themeTint="A6"/>
          <w:sz w:val="84"/>
        </w:rPr>
        <w:t xml:space="preserve"> il futuro: la storia di successo di Positive Charge</w:t>
      </w:r>
      <w:r w:rsidR="00DA4B1F">
        <w:rPr>
          <w:rFonts w:ascii="Century Gothic" w:hAnsi="Century Gothic" w:hint="eastAsia"/>
          <w:b/>
          <w:color w:val="595959" w:themeColor="text1" w:themeTint="A6"/>
          <w:sz w:val="84"/>
          <w:lang w:eastAsia="zh-CN"/>
        </w:rPr>
        <w:t xml:space="preserve"> </w:t>
      </w:r>
      <w:r>
        <w:rPr>
          <w:rFonts w:ascii="Century Gothic" w:hAnsi="Century Gothic"/>
          <w:b/>
          <w:color w:val="595959" w:themeColor="text1" w:themeTint="A6"/>
          <w:sz w:val="84"/>
        </w:rPr>
        <w:t>]</w:t>
      </w:r>
    </w:p>
    <w:p w14:paraId="557161BB" w14:textId="7F89CE62" w:rsidR="0099119D" w:rsidRDefault="00340010">
      <w:pPr>
        <w:rPr>
          <w:rFonts w:ascii="Century Gothic" w:hAnsi="Century Gothic"/>
          <w:b/>
          <w:bCs/>
          <w:color w:val="595959" w:themeColor="text1" w:themeTint="A6"/>
          <w:sz w:val="84"/>
          <w:szCs w:val="8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C904A" wp14:editId="141B8815">
                <wp:simplePos x="0" y="0"/>
                <wp:positionH relativeFrom="column">
                  <wp:posOffset>1724025</wp:posOffset>
                </wp:positionH>
                <wp:positionV relativeFrom="paragraph">
                  <wp:posOffset>459105</wp:posOffset>
                </wp:positionV>
                <wp:extent cx="6934200" cy="257175"/>
                <wp:effectExtent l="0" t="0" r="0" b="9525"/>
                <wp:wrapNone/>
                <wp:docPr id="1744003269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8004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135.75pt;margin-top:36.15pt;width:546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" adj="200" fillcolor="#fff2cc [663]" stroked="f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34C5F2" wp14:editId="7CF56FE3">
                <wp:simplePos x="0" y="0"/>
                <wp:positionH relativeFrom="column">
                  <wp:posOffset>1571625</wp:posOffset>
                </wp:positionH>
                <wp:positionV relativeFrom="paragraph">
                  <wp:posOffset>306866</wp:posOffset>
                </wp:positionV>
                <wp:extent cx="6934200" cy="257175"/>
                <wp:effectExtent l="0" t="0" r="0" b="9525"/>
                <wp:wrapNone/>
                <wp:docPr id="190131824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632" id="Parallelogram 4" o:spid="_x0000_s1026" type="#_x0000_t7" style="position:absolute;margin-left:123.75pt;margin-top:24.15pt;width:546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TXtomuAAAAAKAQAADwAAAAAAAAAAAAAAAADtBAAAZHJzL2Rvd25y&#10;ZXYueG1sUEsFBgAAAAAEAAQA8wAAAPoFAAAAAA==&#10;" adj="200" fillcolor="#fbe4d5 [661]" stroked="f" strokeweight="1pt"/>
            </w:pict>
          </mc:Fallback>
        </mc:AlternateContent>
      </w:r>
    </w:p>
    <w:p w14:paraId="3790FDA2" w14:textId="4595DF37" w:rsidR="0099119D" w:rsidRDefault="00415AAD" w:rsidP="00340010">
      <w:pPr>
        <w:spacing w:before="60"/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t>Chi siamo: soluzioni di ricarica per EV emergenti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99119D" w14:paraId="292CC2D3" w14:textId="77777777" w:rsidTr="0099119D">
        <w:trPr>
          <w:trHeight w:val="1862"/>
        </w:trPr>
        <w:tc>
          <w:tcPr>
            <w:tcW w:w="10790" w:type="dxa"/>
            <w:vAlign w:val="center"/>
          </w:tcPr>
          <w:p w14:paraId="0EAD4B41" w14:textId="2CCAC4CA" w:rsidR="0099119D" w:rsidRPr="0099119D" w:rsidRDefault="000378BA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Benvenuto nel mondo di Positive Charge, una forza pionieristica nel settore della ricarica per veicoli elettrici (EV). Ci impegniamo a trasformare il modo in cui le flotte ricaricano i loro veicoli elettrici, fornendo soluzioni efficienti, sostenibili e pronte per il futuro. Scopri come stiamo rimodellando il panorama della ricarica dei veicoli elettrici in questo case study.</w:t>
            </w:r>
          </w:p>
        </w:tc>
      </w:tr>
    </w:tbl>
    <w:p w14:paraId="783F1C9A" w14:textId="2CB4423D" w:rsidR="0099119D" w:rsidRPr="0099119D" w:rsidRDefault="000378BA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7E8160F6" wp14:editId="4A90D4C6">
            <wp:simplePos x="0" y="0"/>
            <wp:positionH relativeFrom="column">
              <wp:posOffset>3552825</wp:posOffset>
            </wp:positionH>
            <wp:positionV relativeFrom="paragraph">
              <wp:posOffset>469265</wp:posOffset>
            </wp:positionV>
            <wp:extent cx="32861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2141805820" name="Picture 3" descr="Woman wearing safety hel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05820" name="Picture 3" descr="Woman wearing safety helm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A6755F2" wp14:editId="070E4C46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3289300" cy="2194560"/>
            <wp:effectExtent l="0" t="0" r="6350" b="0"/>
            <wp:wrapTight wrapText="bothSides">
              <wp:wrapPolygon edited="0">
                <wp:start x="0" y="0"/>
                <wp:lineTo x="0" y="21375"/>
                <wp:lineTo x="21517" y="21375"/>
                <wp:lineTo x="21517" y="0"/>
                <wp:lineTo x="0" y="0"/>
              </wp:wrapPolygon>
            </wp:wrapTight>
            <wp:docPr id="26222037" name="Picture 3" descr="Electric car 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037" name="Picture 3" descr="Electric car charg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19D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3DAB6" wp14:editId="4A8BCC5A">
                <wp:simplePos x="0" y="0"/>
                <wp:positionH relativeFrom="column">
                  <wp:posOffset>-2162175</wp:posOffset>
                </wp:positionH>
                <wp:positionV relativeFrom="paragraph">
                  <wp:posOffset>3010535</wp:posOffset>
                </wp:positionV>
                <wp:extent cx="6934200" cy="257175"/>
                <wp:effectExtent l="0" t="0" r="0" b="9525"/>
                <wp:wrapNone/>
                <wp:docPr id="14642911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CA382" id="Parallelogram 4" o:spid="_x0000_s1026" type="#_x0000_t7" style="position:absolute;margin-left:-170.25pt;margin-top:237.05pt;width:546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" adj="200" fillcolor="#fff2cc [663]" stroked="f" strokeweight="1pt"/>
            </w:pict>
          </mc:Fallback>
        </mc:AlternateContent>
      </w:r>
      <w:r w:rsidR="0099119D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91724" wp14:editId="1A5DDB3B">
                <wp:simplePos x="0" y="0"/>
                <wp:positionH relativeFrom="column">
                  <wp:posOffset>-2314575</wp:posOffset>
                </wp:positionH>
                <wp:positionV relativeFrom="paragraph">
                  <wp:posOffset>2858135</wp:posOffset>
                </wp:positionV>
                <wp:extent cx="6934200" cy="257175"/>
                <wp:effectExtent l="0" t="0" r="0" b="9525"/>
                <wp:wrapNone/>
                <wp:docPr id="47041677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4231E" id="Parallelogram 4" o:spid="_x0000_s1026" type="#_x0000_t7" style="position:absolute;margin-left:-182.25pt;margin-top:225.05pt;width:546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" adj="200" fillcolor="#fbe4d5 [661]" stroked="f" strokeweight="1pt"/>
            </w:pict>
          </mc:Fallback>
        </mc:AlternateContent>
      </w:r>
    </w:p>
    <w:p w14:paraId="2324DBB6" w14:textId="4DAFCC90" w:rsidR="00383E5D" w:rsidRDefault="00383E5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5B464BF" w14:textId="19AFA5DF" w:rsidR="0099119D" w:rsidRDefault="0099119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B106044" w14:textId="7CBF4930" w:rsidR="0099119D" w:rsidRDefault="00415AAD" w:rsidP="0099119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t>Sfida: superare i colli di bottiglia legati alla ricarica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99119D" w14:paraId="265B555D" w14:textId="77777777" w:rsidTr="00213116">
        <w:trPr>
          <w:trHeight w:val="1862"/>
        </w:trPr>
        <w:tc>
          <w:tcPr>
            <w:tcW w:w="10790" w:type="dxa"/>
            <w:vAlign w:val="center"/>
          </w:tcPr>
          <w:p w14:paraId="6E49F57B" w14:textId="4080674F" w:rsidR="0099119D" w:rsidRPr="0099119D" w:rsidRDefault="000378BA" w:rsidP="00213116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La sfida che ci trovavamo davanti era di portata monumentale. Il nostro cliente, una società che gestisce una flotta di veicoli elettrici, stava affrontando un problema critico: l’espansione della flotta stava mettendo a dura prova la sua infrastruttura di ricarica esistente. Questo collo di bottiglia portava a tempi di inattività, inefficienza e aumento dei costi operativi.</w:t>
            </w:r>
          </w:p>
        </w:tc>
      </w:tr>
    </w:tbl>
    <w:p w14:paraId="795DA1A7" w14:textId="790ADCF6" w:rsidR="0099119D" w:rsidRDefault="0099119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3D036" wp14:editId="47299525">
                <wp:simplePos x="0" y="0"/>
                <wp:positionH relativeFrom="column">
                  <wp:posOffset>2085975</wp:posOffset>
                </wp:positionH>
                <wp:positionV relativeFrom="paragraph">
                  <wp:posOffset>217170</wp:posOffset>
                </wp:positionV>
                <wp:extent cx="6934200" cy="257175"/>
                <wp:effectExtent l="0" t="0" r="0" b="9525"/>
                <wp:wrapNone/>
                <wp:docPr id="342491176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6E32" id="Parallelogram 4" o:spid="_x0000_s1026" type="#_x0000_t7" style="position:absolute;margin-left:164.25pt;margin-top:17.1pt;width:546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AS23G/3wAAAAoBAAAPAAAAAAAAAAAAAAAAAO0EAABkcnMvZG93bnJl&#10;di54bWxQSwUGAAAAAAQABADzAAAA+QUAAAAA&#10;" adj="200" fillcolor="#fbe4d5 [661]" stroked="f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3CD4F" wp14:editId="39D1D2B0">
                <wp:simplePos x="0" y="0"/>
                <wp:positionH relativeFrom="column">
                  <wp:posOffset>2238375</wp:posOffset>
                </wp:positionH>
                <wp:positionV relativeFrom="paragraph">
                  <wp:posOffset>369570</wp:posOffset>
                </wp:positionV>
                <wp:extent cx="6934200" cy="257175"/>
                <wp:effectExtent l="0" t="0" r="0" b="9525"/>
                <wp:wrapNone/>
                <wp:docPr id="177385108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218A2" id="Parallelogram 4" o:spid="_x0000_s1026" type="#_x0000_t7" style="position:absolute;margin-left:176.25pt;margin-top:29.1pt;width:546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OnJIMt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0F40912C" w14:textId="77777777" w:rsidR="002728B6" w:rsidRDefault="002728B6" w:rsidP="002728B6">
      <w:pPr>
        <w:tabs>
          <w:tab w:val="right" w:pos="5940"/>
        </w:tabs>
        <w:jc w:val="right"/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1FFBD5D" w14:textId="5573851B" w:rsidR="0099119D" w:rsidRDefault="00415AA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lastRenderedPageBreak/>
        <w:t>Case study: guidare la trasformazione della ricarica per EV</w:t>
      </w:r>
    </w:p>
    <w:p w14:paraId="2DA80647" w14:textId="2D0BAC85" w:rsidR="0099119D" w:rsidRDefault="00415AAD" w:rsidP="0099119D">
      <w:r>
        <w:rPr>
          <w:rFonts w:ascii="Century Gothic" w:hAnsi="Century Gothic"/>
          <w:color w:val="595959" w:themeColor="text1" w:themeTint="A6"/>
          <w:sz w:val="24"/>
        </w:rPr>
        <w:t>Ti diamo il benvenuto nel nostro case study, dove ti mostreremo il nostro viaggio nella trasformazione della ricarica per EV. Esploriamo le milestone, le strategie e lo sforzo collaborativo che hanno rimodellato il corso delle operazioni di ricarica.</w:t>
      </w:r>
      <w:r w:rsidR="0099119D" w:rsidRPr="0099119D">
        <w:t xml:space="preserve"> </w:t>
      </w:r>
    </w:p>
    <w:p w14:paraId="70A90154" w14:textId="49982965" w:rsidR="0099119D" w:rsidRDefault="0099119D" w:rsidP="0099119D"/>
    <w:p w14:paraId="6CF51F30" w14:textId="566EB572" w:rsidR="0099119D" w:rsidRDefault="0099119D" w:rsidP="0099119D"/>
    <w:p w14:paraId="1167FF63" w14:textId="7BCFB45F" w:rsidR="0099119D" w:rsidRDefault="0099119D" w:rsidP="0099119D"/>
    <w:p w14:paraId="3DC917F0" w14:textId="7033B280" w:rsidR="0099119D" w:rsidRDefault="0099119D" w:rsidP="0099119D"/>
    <w:p w14:paraId="5CC1F94F" w14:textId="532FCDE0" w:rsidR="0099119D" w:rsidRDefault="0099119D" w:rsidP="0099119D"/>
    <w:p w14:paraId="25D0C50B" w14:textId="56E7F581" w:rsidR="00290F13" w:rsidRDefault="000378BA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BC2431C" wp14:editId="2EB5F62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858000" cy="4296410"/>
            <wp:effectExtent l="4445" t="0" r="4445" b="4445"/>
            <wp:wrapTight wrapText="bothSides">
              <wp:wrapPolygon edited="0">
                <wp:start x="14" y="21622"/>
                <wp:lineTo x="21554" y="21622"/>
                <wp:lineTo x="21554" y="73"/>
                <wp:lineTo x="14" y="73"/>
                <wp:lineTo x="14" y="21622"/>
              </wp:wrapPolygon>
            </wp:wrapTight>
            <wp:docPr id="690799818" name="Picture 6" descr="Multiple interweaving highways with cars driving in different dir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99818" name="Picture 690799818" descr="Multiple interweaving highways with cars driving in different direction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F13"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5F27EE8F" w14:textId="1240A690" w:rsidR="00290F13" w:rsidRDefault="00415AAD" w:rsidP="00290F13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lastRenderedPageBreak/>
        <w:t>Soluzione: ricarica smart ridefinita</w:t>
      </w:r>
    </w:p>
    <w:p w14:paraId="5BDB91B1" w14:textId="66C8C135" w:rsidR="00290F13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La nostra soluzione ha ridefinito la ricarica smart per le flotte EV. Interagisci con elementi visivamente sbalorditivi che svelano come il nostro approccio integrato combina espansione dell’infrastruttura, tecnologia intelligente e programmazioni ottimizzate per affrontare la sfida.</w:t>
      </w:r>
    </w:p>
    <w:p w14:paraId="3A42A20B" w14:textId="3EA90ADC" w:rsidR="00290F13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2DF44" wp14:editId="0600ABE8">
                <wp:simplePos x="0" y="0"/>
                <wp:positionH relativeFrom="column">
                  <wp:posOffset>-1552575</wp:posOffset>
                </wp:positionH>
                <wp:positionV relativeFrom="paragraph">
                  <wp:posOffset>73660</wp:posOffset>
                </wp:positionV>
                <wp:extent cx="6934200" cy="257175"/>
                <wp:effectExtent l="0" t="0" r="0" b="9525"/>
                <wp:wrapNone/>
                <wp:docPr id="73904531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01D9" id="Parallelogram 4" o:spid="_x0000_s1026" type="#_x0000_t7" style="position:absolute;margin-left:-122.25pt;margin-top:5.8pt;width:546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BQ+DA33wAAAAoBAAAPAAAAAAAAAAAAAAAAAO0EAABkcnMvZG93bnJl&#10;di54bWxQSwUGAAAAAAQABADzAAAA+QUAAAAA&#10;" adj="200" fillcolor="#fbe4d5 [661]" stroked="f" strokeweight="1pt"/>
            </w:pict>
          </mc:Fallback>
        </mc:AlternateContent>
      </w:r>
      <w:r w:rsidR="00290F13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8D96C" wp14:editId="1FE4AD5C">
                <wp:simplePos x="0" y="0"/>
                <wp:positionH relativeFrom="column">
                  <wp:posOffset>-1400175</wp:posOffset>
                </wp:positionH>
                <wp:positionV relativeFrom="paragraph">
                  <wp:posOffset>210820</wp:posOffset>
                </wp:positionV>
                <wp:extent cx="6934200" cy="257175"/>
                <wp:effectExtent l="0" t="0" r="0" b="9525"/>
                <wp:wrapNone/>
                <wp:docPr id="17739995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E459" id="Parallelogram 4" o:spid="_x0000_s1026" type="#_x0000_t7" style="position:absolute;margin-left:-110.25pt;margin-top:16.6pt;width:546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XYCWad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61EBD2CB" w14:textId="286C72CB" w:rsidR="00290F13" w:rsidRDefault="00290F13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157B436B" w14:textId="0437CBEE" w:rsidR="00290F13" w:rsidRDefault="00290F13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34D62122" w14:textId="1599E596" w:rsidR="00290F13" w:rsidRDefault="00415AAD" w:rsidP="00290F13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t>Vantaggi: promuovere efficienza e crescita</w:t>
      </w:r>
    </w:p>
    <w:p w14:paraId="49E6CFEE" w14:textId="4A9E157E" w:rsidR="00290F13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Visualizza i vantaggi ottenuti dai nostri clienti grazie alle nostre soluzioni. Immergiti in diagrammi dinamici, scenari prima e dopo e immagini di grande impatto. Scopri come le nostre strategie hanno portato a efficienza, risparmi sui costi ed eccellenza operativa.</w:t>
      </w:r>
    </w:p>
    <w:p w14:paraId="36C3A9AA" w14:textId="0F7B489E" w:rsidR="00290F13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FC01B" wp14:editId="172199EE">
                <wp:simplePos x="0" y="0"/>
                <wp:positionH relativeFrom="column">
                  <wp:posOffset>1466850</wp:posOffset>
                </wp:positionH>
                <wp:positionV relativeFrom="paragraph">
                  <wp:posOffset>245745</wp:posOffset>
                </wp:positionV>
                <wp:extent cx="6934200" cy="257175"/>
                <wp:effectExtent l="0" t="0" r="0" b="9525"/>
                <wp:wrapNone/>
                <wp:docPr id="45292625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08DC" id="Parallelogram 4" o:spid="_x0000_s1026" type="#_x0000_t7" style="position:absolute;margin-left:115.5pt;margin-top:19.35pt;width:546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7OcbruAAAAAKAQAADwAAAAAAAAAAAAAAAADtBAAAZHJzL2Rvd25y&#10;ZXYueG1sUEsFBgAAAAAEAAQA8wAAAPoFAAAAAA==&#10;" adj="200" fillcolor="#fbe4d5 [661]" stroked="f" strokeweight="1pt"/>
            </w:pict>
          </mc:Fallback>
        </mc:AlternateContent>
      </w:r>
      <w:r w:rsidR="00290F13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93E74" wp14:editId="60B54989">
                <wp:simplePos x="0" y="0"/>
                <wp:positionH relativeFrom="column">
                  <wp:posOffset>1533525</wp:posOffset>
                </wp:positionH>
                <wp:positionV relativeFrom="paragraph">
                  <wp:posOffset>48895</wp:posOffset>
                </wp:positionV>
                <wp:extent cx="6934200" cy="257175"/>
                <wp:effectExtent l="0" t="0" r="0" b="9525"/>
                <wp:wrapNone/>
                <wp:docPr id="14366147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A940" id="Parallelogram 4" o:spid="_x0000_s1026" type="#_x0000_t7" style="position:absolute;margin-left:120.75pt;margin-top:3.85pt;width:546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/NxYHt0AAAAJ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0B50AE2F" w14:textId="6C0DA362" w:rsidR="00290F13" w:rsidRDefault="00290F13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3137093B" w14:textId="08A3402B" w:rsidR="00290F13" w:rsidRDefault="0080695F" w:rsidP="00290F13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t>Risultati: numeri che gridano al successo</w:t>
      </w:r>
    </w:p>
    <w:p w14:paraId="408D7BE0" w14:textId="020C8859" w:rsidR="00290F13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I risultati quantificabili dei nostri sforzi sono sbalorditivi. Immergiti in diagrammi e immagini dinamici che amplificano l’impatto visivo delle nostre soluzioni. Scopri come abbiamo sfruttato parametri tangibili per trasformare le operazioni di ricarica.</w:t>
      </w:r>
    </w:p>
    <w:p w14:paraId="78AA68EC" w14:textId="77777777" w:rsidR="000378BA" w:rsidRDefault="000378BA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3ABC1571" w14:textId="1DEB940D" w:rsidR="00290F13" w:rsidRDefault="0080695F" w:rsidP="00290F13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color w:val="595959" w:themeColor="text1" w:themeTint="A6"/>
          <w:sz w:val="44"/>
        </w:rPr>
        <w:t xml:space="preserve">Futuro: </w:t>
      </w:r>
      <w:r w:rsidR="000378BA"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plasmare il panorama della ricarica di domani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290F13" w14:paraId="03C18E4F" w14:textId="77777777" w:rsidTr="00213116">
        <w:trPr>
          <w:trHeight w:val="1862"/>
        </w:trPr>
        <w:tc>
          <w:tcPr>
            <w:tcW w:w="10790" w:type="dxa"/>
            <w:vAlign w:val="center"/>
          </w:tcPr>
          <w:p w14:paraId="5C8F6278" w14:textId="1321CEA1" w:rsidR="00290F13" w:rsidRPr="0099119D" w:rsidRDefault="000378BA" w:rsidP="00213116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Il nostro viaggio non finisce qui. Dai un’occhiata al futuro con noi mentre condividiamo la nostra visione e le strategie per un successo continuo. Lascia che il nostro approccio lungimirante e gli elementi di design dinamici ispirino fiducia nel futuro.</w:t>
            </w:r>
          </w:p>
        </w:tc>
      </w:tr>
    </w:tbl>
    <w:p w14:paraId="492565B8" w14:textId="31300562" w:rsidR="00290F13" w:rsidRDefault="00290F13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1A4B5E6A" w14:textId="77777777" w:rsidR="00290F13" w:rsidRDefault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0E98E77E" w14:textId="77777777" w:rsidR="00290F13" w:rsidRDefault="00290F13" w:rsidP="00290F13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080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800"/>
      </w:tblGrid>
      <w:tr w:rsidR="00290F13" w:rsidRPr="003D706E" w14:paraId="0166BE83" w14:textId="77777777" w:rsidTr="00290F13">
        <w:trPr>
          <w:trHeight w:val="2706"/>
        </w:trPr>
        <w:tc>
          <w:tcPr>
            <w:tcW w:w="10800" w:type="dxa"/>
          </w:tcPr>
          <w:p w14:paraId="1AF58CB1" w14:textId="77777777" w:rsidR="00290F13" w:rsidRPr="003D706E" w:rsidRDefault="00290F13" w:rsidP="00213116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t>DICHIARAZIONE DI NON RESPONSABILITÀ</w:t>
            </w:r>
          </w:p>
          <w:p w14:paraId="59231374" w14:textId="77777777" w:rsidR="00290F13" w:rsidRPr="003D706E" w:rsidRDefault="00290F13" w:rsidP="00213116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31AE28FA" w14:textId="77777777" w:rsidR="00290F13" w:rsidRPr="003D706E" w:rsidRDefault="00290F13" w:rsidP="00213116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5DA76A33" w14:textId="77777777" w:rsidR="00290F13" w:rsidRPr="003D706E" w:rsidRDefault="00290F13" w:rsidP="00290F13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7AA212B9" w14:textId="77777777" w:rsidR="00290F13" w:rsidRPr="00762D74" w:rsidRDefault="00290F13" w:rsidP="00290F13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22F52242" w14:textId="77777777" w:rsidR="00290F13" w:rsidRPr="00290F13" w:rsidRDefault="00290F13" w:rsidP="00290F13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sectPr w:rsidR="00290F13" w:rsidRPr="00290F13" w:rsidSect="00D71F6D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53B40" w14:textId="77777777" w:rsidR="007F42CD" w:rsidRDefault="007F42CD" w:rsidP="0099119D">
      <w:pPr>
        <w:spacing w:after="0" w:line="240" w:lineRule="auto"/>
      </w:pPr>
      <w:r>
        <w:separator/>
      </w:r>
    </w:p>
  </w:endnote>
  <w:endnote w:type="continuationSeparator" w:id="0">
    <w:p w14:paraId="7FFEE534" w14:textId="77777777" w:rsidR="007F42CD" w:rsidRDefault="007F42CD" w:rsidP="00991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0811044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ED7D31" w:themeColor="accent2"/>
        <w:spacing w:val="60"/>
      </w:rPr>
    </w:sdtEndPr>
    <w:sdtContent>
      <w:p w14:paraId="2AF62E45" w14:textId="2EF99B1B" w:rsidR="0099119D" w:rsidRPr="0099119D" w:rsidRDefault="0099119D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entury Gothic" w:hAnsi="Century Gothic"/>
            <w:color w:val="ED7D31" w:themeColor="accent2"/>
          </w:rPr>
        </w:pPr>
        <w:r w:rsidRPr="0099119D">
          <w:rPr>
            <w:rFonts w:ascii="Century Gothic" w:hAnsi="Century Gothic"/>
            <w:color w:val="ED7D31" w:themeColor="accent2"/>
          </w:rPr>
          <w:fldChar w:fldCharType="begin"/>
        </w:r>
        <w:r w:rsidRPr="0099119D">
          <w:rPr>
            <w:rFonts w:ascii="Century Gothic" w:hAnsi="Century Gothic"/>
            <w:color w:val="ED7D31" w:themeColor="accent2"/>
          </w:rPr>
          <w:instrText xml:space="preserve"> PAGE   \* MERGEFORMAT </w:instrText>
        </w:r>
        <w:r w:rsidRPr="0099119D">
          <w:rPr>
            <w:rFonts w:ascii="Century Gothic" w:hAnsi="Century Gothic"/>
            <w:color w:val="ED7D31" w:themeColor="accent2"/>
          </w:rPr>
          <w:fldChar w:fldCharType="separate"/>
        </w:r>
        <w:r>
          <w:rPr>
            <w:rFonts w:ascii="Century Gothic" w:hAnsi="Century Gothic"/>
            <w:color w:val="ED7D31" w:themeColor="accent2"/>
          </w:rPr>
          <w:t>2</w:t>
        </w:r>
        <w:r w:rsidRPr="0099119D">
          <w:rPr>
            <w:rFonts w:ascii="Century Gothic" w:hAnsi="Century Gothic"/>
            <w:color w:val="ED7D31" w:themeColor="accent2"/>
          </w:rPr>
          <w:fldChar w:fldCharType="end"/>
        </w:r>
        <w:r>
          <w:rPr>
            <w:rFonts w:ascii="Century Gothic" w:hAnsi="Century Gothic"/>
            <w:color w:val="ED7D31" w:themeColor="accent2"/>
          </w:rPr>
          <w:t xml:space="preserve"> | </w:t>
        </w:r>
        <w:r w:rsidRPr="0099119D">
          <w:rPr>
            <w:rFonts w:ascii="Century Gothic" w:hAnsi="Century Gothic"/>
            <w:color w:val="ED7D31" w:themeColor="accent2"/>
            <w:spacing w:val="60"/>
          </w:rPr>
          <w:t>Pagina</w:t>
        </w:r>
      </w:p>
    </w:sdtContent>
  </w:sdt>
  <w:p w14:paraId="17B45EDA" w14:textId="77777777" w:rsidR="0099119D" w:rsidRDefault="009911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2E041" w14:textId="77777777" w:rsidR="007F42CD" w:rsidRDefault="007F42CD" w:rsidP="0099119D">
      <w:pPr>
        <w:spacing w:after="0" w:line="240" w:lineRule="auto"/>
      </w:pPr>
      <w:r>
        <w:separator/>
      </w:r>
    </w:p>
  </w:footnote>
  <w:footnote w:type="continuationSeparator" w:id="0">
    <w:p w14:paraId="4003F643" w14:textId="77777777" w:rsidR="007F42CD" w:rsidRDefault="007F42CD" w:rsidP="00991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bordersDoNotSurroundHeader/>
  <w:bordersDoNotSurroundFooter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5D"/>
    <w:rsid w:val="00004EC8"/>
    <w:rsid w:val="00035DB8"/>
    <w:rsid w:val="000378BA"/>
    <w:rsid w:val="00077DF3"/>
    <w:rsid w:val="00122BE0"/>
    <w:rsid w:val="0022017E"/>
    <w:rsid w:val="00233DC1"/>
    <w:rsid w:val="002728B6"/>
    <w:rsid w:val="00290F13"/>
    <w:rsid w:val="002D29F1"/>
    <w:rsid w:val="00340010"/>
    <w:rsid w:val="00383E5D"/>
    <w:rsid w:val="00392C70"/>
    <w:rsid w:val="00393E6C"/>
    <w:rsid w:val="003F71D6"/>
    <w:rsid w:val="00415AAD"/>
    <w:rsid w:val="0048283F"/>
    <w:rsid w:val="00513383"/>
    <w:rsid w:val="005732CD"/>
    <w:rsid w:val="00772109"/>
    <w:rsid w:val="00796EDB"/>
    <w:rsid w:val="007F42CD"/>
    <w:rsid w:val="0080695F"/>
    <w:rsid w:val="0083142C"/>
    <w:rsid w:val="00960512"/>
    <w:rsid w:val="0099119D"/>
    <w:rsid w:val="009D4580"/>
    <w:rsid w:val="00A93C31"/>
    <w:rsid w:val="00AA305A"/>
    <w:rsid w:val="00AB10B9"/>
    <w:rsid w:val="00AE0410"/>
    <w:rsid w:val="00B05D1B"/>
    <w:rsid w:val="00D2241B"/>
    <w:rsid w:val="00D26051"/>
    <w:rsid w:val="00D52D10"/>
    <w:rsid w:val="00D71F6D"/>
    <w:rsid w:val="00DA4B1F"/>
    <w:rsid w:val="00DD0AF4"/>
    <w:rsid w:val="00E168DA"/>
    <w:rsid w:val="00E63BA6"/>
    <w:rsid w:val="00F4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9423BA"/>
  <w15:chartTrackingRefBased/>
  <w15:docId w15:val="{FF2A3E0D-0B93-4ABF-937E-375612E2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E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E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E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E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E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E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E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E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E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E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E5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91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19D"/>
  </w:style>
  <w:style w:type="paragraph" w:styleId="Footer">
    <w:name w:val="footer"/>
    <w:basedOn w:val="Normal"/>
    <w:link w:val="Foot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.smartsheet.com/try-it?trp=38127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Hansen Han （韩辉）</cp:lastModifiedBy>
  <cp:revision>11</cp:revision>
  <dcterms:created xsi:type="dcterms:W3CDTF">2024-01-17T04:04:00Z</dcterms:created>
  <dcterms:modified xsi:type="dcterms:W3CDTF">2025-01-22T13:48:00Z</dcterms:modified>
</cp:coreProperties>
</file>