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61495" w14:textId="0B267D18" w:rsidR="0022017E" w:rsidRPr="00823C0E" w:rsidRDefault="00753177">
      <w:pPr>
        <w:rPr>
          <w:rFonts w:ascii="Century Gothic" w:hAnsi="Century Gothic"/>
          <w:b/>
          <w:bCs/>
          <w:color w:val="595959" w:themeColor="text1" w:themeTint="A6"/>
          <w:sz w:val="52"/>
          <w:szCs w:val="52"/>
        </w:rPr>
      </w:pPr>
      <w:r w:rsidRPr="0075550D">
        <w:rPr>
          <w:noProof/>
          <w:color w:val="595959" w:themeColor="text1" w:themeTint="A6"/>
          <w:sz w:val="44"/>
          <w:szCs w:val="44"/>
        </w:rPr>
        <w:drawing>
          <wp:anchor distT="0" distB="0" distL="114300" distR="114300" simplePos="0" relativeHeight="251666432" behindDoc="0" locked="0" layoutInCell="1" allowOverlap="1" wp14:anchorId="1D8E9237" wp14:editId="70B69069">
            <wp:simplePos x="0" y="0"/>
            <wp:positionH relativeFrom="column">
              <wp:posOffset>6547899</wp:posOffset>
            </wp:positionH>
            <wp:positionV relativeFrom="paragraph">
              <wp:posOffset>11927</wp:posOffset>
            </wp:positionV>
            <wp:extent cx="2585720" cy="514350"/>
            <wp:effectExtent l="0" t="0" r="5080" b="0"/>
            <wp:wrapNone/>
            <wp:docPr id="3" name="Picture 2">
              <a:hlinkClick xmlns:a="http://schemas.openxmlformats.org/drawingml/2006/main" r:id="rId5"/>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hlinkClick r:id="rId5"/>
                      <a:extLst>
                        <a:ext uri="{FF2B5EF4-FFF2-40B4-BE49-F238E27FC236}">
                          <a16:creationId xmlns:a16="http://schemas.microsoft.com/office/drawing/2014/main" id="{7B94D792-3EDA-514B-9013-055291A76202}"/>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585720" cy="514350"/>
                    </a:xfrm>
                    <a:prstGeom prst="rect">
                      <a:avLst/>
                    </a:prstGeom>
                  </pic:spPr>
                </pic:pic>
              </a:graphicData>
            </a:graphic>
            <wp14:sizeRelH relativeFrom="page">
              <wp14:pctWidth>0</wp14:pctWidth>
            </wp14:sizeRelH>
            <wp14:sizeRelV relativeFrom="page">
              <wp14:pctHeight>0</wp14:pctHeight>
            </wp14:sizeRelV>
          </wp:anchor>
        </w:drawing>
      </w:r>
      <w:r w:rsidR="00A108D8" w:rsidRPr="00823C0E">
        <w:rPr>
          <w:rFonts w:ascii="Century Gothic" w:hAnsi="Century Gothic"/>
          <w:b/>
          <w:bCs/>
          <w:noProof/>
          <w:color w:val="000000" w:themeColor="text1"/>
          <w:sz w:val="52"/>
          <w:szCs w:val="52"/>
        </w:rPr>
        <w:drawing>
          <wp:anchor distT="0" distB="0" distL="114300" distR="114300" simplePos="0" relativeHeight="251658239" behindDoc="1" locked="0" layoutInCell="1" allowOverlap="1" wp14:anchorId="41BDD1EC" wp14:editId="4C91F0C3">
            <wp:simplePos x="0" y="0"/>
            <wp:positionH relativeFrom="column">
              <wp:posOffset>-3398520</wp:posOffset>
            </wp:positionH>
            <wp:positionV relativeFrom="paragraph">
              <wp:posOffset>427355</wp:posOffset>
            </wp:positionV>
            <wp:extent cx="7953480" cy="6146250"/>
            <wp:effectExtent l="8255" t="0" r="0" b="0"/>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953480" cy="6146250"/>
                    </a:xfrm>
                    <a:prstGeom prst="rect">
                      <a:avLst/>
                    </a:prstGeom>
                  </pic:spPr>
                </pic:pic>
              </a:graphicData>
            </a:graphic>
            <wp14:sizeRelH relativeFrom="margin">
              <wp14:pctWidth>0</wp14:pctWidth>
            </wp14:sizeRelH>
            <wp14:sizeRelV relativeFrom="margin">
              <wp14:pctHeight>0</wp14:pctHeight>
            </wp14:sizeRelV>
          </wp:anchor>
        </w:drawing>
      </w:r>
      <w:r w:rsidR="00A108D8">
        <w:rPr>
          <w:rFonts w:ascii="Century Gothic" w:hAnsi="Century Gothic"/>
          <w:b/>
          <w:color w:val="595959" w:themeColor="text1" w:themeTint="A6"/>
          <w:sz w:val="52"/>
        </w:rPr>
        <w:t xml:space="preserve">MODELLO DI REPORT DI CASE STUDY </w:t>
      </w:r>
      <w:r w:rsidR="00187AB6">
        <w:rPr>
          <w:rFonts w:ascii="Century Gothic" w:hAnsi="Century Gothic"/>
          <w:b/>
          <w:color w:val="595959" w:themeColor="text1" w:themeTint="A6"/>
          <w:sz w:val="52"/>
        </w:rPr>
        <w:br/>
      </w:r>
      <w:r w:rsidR="00A108D8">
        <w:rPr>
          <w:rFonts w:ascii="Century Gothic" w:hAnsi="Century Gothic"/>
          <w:b/>
          <w:color w:val="595959" w:themeColor="text1" w:themeTint="A6"/>
          <w:sz w:val="52"/>
        </w:rPr>
        <w:t>per Microsoft Word ESEMPIO</w:t>
      </w:r>
    </w:p>
    <w:p w14:paraId="198C8B67" w14:textId="62FC2D04" w:rsidR="00762D74" w:rsidRPr="00187AB6" w:rsidRDefault="00762D74">
      <w:pPr>
        <w:rPr>
          <w:rFonts w:ascii="Century Gothic" w:hAnsi="Century Gothic"/>
          <w:b/>
          <w:bCs/>
          <w:color w:val="595959" w:themeColor="text1" w:themeTint="A6"/>
          <w:sz w:val="36"/>
          <w:szCs w:val="36"/>
        </w:rPr>
      </w:pPr>
    </w:p>
    <w:p w14:paraId="2B513E80" w14:textId="507EFF7F" w:rsidR="00762D74" w:rsidRDefault="006612E0" w:rsidP="00A108D8">
      <w:pPr>
        <w:ind w:left="6750"/>
        <w:rPr>
          <w:rFonts w:ascii="Century Gothic" w:hAnsi="Century Gothic"/>
          <w:color w:val="2E74B5" w:themeColor="accent5" w:themeShade="BF"/>
          <w:sz w:val="84"/>
          <w:szCs w:val="84"/>
        </w:rPr>
      </w:pPr>
      <w:r>
        <w:rPr>
          <w:rFonts w:ascii="Century Gothic" w:hAnsi="Century Gothic"/>
          <w:color w:val="2E74B5" w:themeColor="accent5" w:themeShade="BF"/>
          <w:sz w:val="64"/>
        </w:rPr>
        <w:t>POSITIVE CHARGE</w:t>
      </w:r>
    </w:p>
    <w:p w14:paraId="1725B9E6" w14:textId="7F0A8C2B" w:rsidR="00A108D8" w:rsidRDefault="006612E0" w:rsidP="006612E0">
      <w:pPr>
        <w:ind w:left="6840"/>
        <w:rPr>
          <w:rFonts w:ascii="Century Gothic" w:hAnsi="Century Gothic" w:cs="Arial"/>
          <w:color w:val="595959" w:themeColor="text1" w:themeTint="A6"/>
          <w:sz w:val="28"/>
          <w:szCs w:val="28"/>
        </w:rPr>
      </w:pPr>
      <w:r>
        <w:rPr>
          <w:rFonts w:ascii="Century Gothic" w:hAnsi="Century Gothic"/>
          <w:color w:val="595959" w:themeColor="text1" w:themeTint="A6"/>
          <w:sz w:val="28"/>
        </w:rPr>
        <w:t>Il testo di esempio riportato di seguito fornisce un’articolazione strutturata e dettagliata del case study marketing di Positive Charge. Utilizzando questo modello, l’azienda copre tutti gli elementi essenziali del suo case study in modo chiaro e organizzato. Il documento completo consente a Positive Charge di mostrare il suo successo e la sua esperienza nel settore della ricarica per veicoli elettrici (EV), fornendo al contempo ai lettori preziosi insight, soluzioni per la risoluzione dei problemi, e ispirazione per le operazioni, promuovendo in ultima analisi la collaborazione e la crescita all’interno del settore.</w:t>
      </w:r>
    </w:p>
    <w:p w14:paraId="28287C8F" w14:textId="77777777" w:rsidR="006612E0" w:rsidRPr="00187AB6" w:rsidRDefault="006612E0" w:rsidP="006612E0">
      <w:pPr>
        <w:ind w:left="6840"/>
        <w:rPr>
          <w:rFonts w:ascii="Century Gothic" w:hAnsi="Century Gothic" w:cs="Arial"/>
          <w:color w:val="000000"/>
          <w:sz w:val="24"/>
          <w:szCs w:val="24"/>
        </w:rPr>
      </w:pPr>
    </w:p>
    <w:tbl>
      <w:tblPr>
        <w:tblStyle w:val="TableGrid"/>
        <w:tblW w:w="14305" w:type="dxa"/>
        <w:tblLook w:val="04A0" w:firstRow="1" w:lastRow="0" w:firstColumn="1" w:lastColumn="0" w:noHBand="0" w:noVBand="1"/>
      </w:tblPr>
      <w:tblGrid>
        <w:gridCol w:w="3595"/>
        <w:gridCol w:w="10710"/>
      </w:tblGrid>
      <w:tr w:rsidR="00823C0E" w:rsidRPr="00E327DC" w14:paraId="7FA42F3D" w14:textId="77777777" w:rsidTr="00656C10">
        <w:trPr>
          <w:trHeight w:val="773"/>
        </w:trPr>
        <w:tc>
          <w:tcPr>
            <w:tcW w:w="3595" w:type="dxa"/>
            <w:shd w:val="clear" w:color="auto" w:fill="FFF2CC" w:themeFill="accent4" w:themeFillTint="33"/>
            <w:vAlign w:val="center"/>
          </w:tcPr>
          <w:p w14:paraId="2B08B5DB" w14:textId="3B657CC9" w:rsidR="00823C0E" w:rsidRPr="00E327DC" w:rsidRDefault="00823C0E" w:rsidP="00E327DC">
            <w:pPr>
              <w:jc w:val="right"/>
              <w:rPr>
                <w:rFonts w:ascii="Century Gothic" w:hAnsi="Century Gothic"/>
                <w:color w:val="2E74B5" w:themeColor="accent5" w:themeShade="BF"/>
                <w:sz w:val="24"/>
                <w:szCs w:val="24"/>
              </w:rPr>
            </w:pPr>
            <w:r>
              <w:rPr>
                <w:rFonts w:ascii="Century Gothic" w:hAnsi="Century Gothic"/>
                <w:color w:val="2E74B5" w:themeColor="accent5" w:themeShade="BF"/>
                <w:sz w:val="24"/>
              </w:rPr>
              <w:t>TITOLO</w:t>
            </w:r>
          </w:p>
        </w:tc>
        <w:tc>
          <w:tcPr>
            <w:tcW w:w="10710" w:type="dxa"/>
            <w:shd w:val="clear" w:color="auto" w:fill="F2F2F2" w:themeFill="background1" w:themeFillShade="F2"/>
            <w:vAlign w:val="center"/>
          </w:tcPr>
          <w:p w14:paraId="08354BA8" w14:textId="15BA11F8" w:rsidR="00823C0E" w:rsidRPr="00E327DC" w:rsidRDefault="006612E0">
            <w:pPr>
              <w:rPr>
                <w:rFonts w:ascii="Century Gothic" w:hAnsi="Century Gothic"/>
                <w:color w:val="595959" w:themeColor="text1" w:themeTint="A6"/>
                <w:sz w:val="24"/>
                <w:szCs w:val="24"/>
              </w:rPr>
            </w:pPr>
            <w:r>
              <w:rPr>
                <w:rFonts w:ascii="Century Gothic" w:hAnsi="Century Gothic"/>
                <w:color w:val="595959" w:themeColor="text1" w:themeTint="A6"/>
                <w:sz w:val="24"/>
              </w:rPr>
              <w:t>Case Study: Positive Charge</w:t>
            </w:r>
          </w:p>
        </w:tc>
      </w:tr>
      <w:tr w:rsidR="00823C0E" w:rsidRPr="00E327DC" w14:paraId="51BF33B8" w14:textId="77777777" w:rsidTr="00656C10">
        <w:trPr>
          <w:trHeight w:val="710"/>
        </w:trPr>
        <w:tc>
          <w:tcPr>
            <w:tcW w:w="3595" w:type="dxa"/>
            <w:shd w:val="clear" w:color="auto" w:fill="FFF2CC" w:themeFill="accent4" w:themeFillTint="33"/>
            <w:vAlign w:val="center"/>
          </w:tcPr>
          <w:p w14:paraId="58B534BD" w14:textId="3D50A061" w:rsidR="00823C0E" w:rsidRPr="00E327DC" w:rsidRDefault="00823C0E" w:rsidP="00E327DC">
            <w:pPr>
              <w:jc w:val="right"/>
              <w:rPr>
                <w:rFonts w:ascii="Century Gothic" w:hAnsi="Century Gothic"/>
                <w:color w:val="2E74B5" w:themeColor="accent5" w:themeShade="BF"/>
                <w:sz w:val="24"/>
                <w:szCs w:val="24"/>
              </w:rPr>
            </w:pPr>
            <w:r>
              <w:rPr>
                <w:rFonts w:ascii="Century Gothic" w:hAnsi="Century Gothic"/>
                <w:color w:val="2E74B5" w:themeColor="accent5" w:themeShade="BF"/>
                <w:sz w:val="24"/>
              </w:rPr>
              <w:t>A CURA DI</w:t>
            </w:r>
          </w:p>
        </w:tc>
        <w:tc>
          <w:tcPr>
            <w:tcW w:w="10710" w:type="dxa"/>
            <w:shd w:val="clear" w:color="auto" w:fill="F2F2F2" w:themeFill="background1" w:themeFillShade="F2"/>
            <w:vAlign w:val="center"/>
          </w:tcPr>
          <w:p w14:paraId="3AB520FC" w14:textId="642530BF" w:rsidR="00823C0E" w:rsidRPr="00E327DC" w:rsidRDefault="006612E0" w:rsidP="00E327DC">
            <w:pPr>
              <w:rPr>
                <w:rFonts w:ascii="Century Gothic" w:hAnsi="Century Gothic"/>
                <w:color w:val="595959" w:themeColor="text1" w:themeTint="A6"/>
                <w:sz w:val="24"/>
                <w:szCs w:val="24"/>
              </w:rPr>
            </w:pPr>
            <w:r>
              <w:rPr>
                <w:rFonts w:ascii="Century Gothic" w:hAnsi="Century Gothic"/>
                <w:color w:val="595959" w:themeColor="text1" w:themeTint="A6"/>
                <w:sz w:val="24"/>
              </w:rPr>
              <w:t>Petra D.</w:t>
            </w:r>
          </w:p>
        </w:tc>
      </w:tr>
      <w:tr w:rsidR="00823C0E" w:rsidRPr="00E327DC" w14:paraId="6A035C60" w14:textId="77777777" w:rsidTr="00656C10">
        <w:trPr>
          <w:trHeight w:val="710"/>
        </w:trPr>
        <w:tc>
          <w:tcPr>
            <w:tcW w:w="3595" w:type="dxa"/>
            <w:shd w:val="clear" w:color="auto" w:fill="FFF2CC" w:themeFill="accent4" w:themeFillTint="33"/>
            <w:vAlign w:val="center"/>
          </w:tcPr>
          <w:p w14:paraId="2F300152" w14:textId="104FE2E0" w:rsidR="00823C0E" w:rsidRPr="00E327DC" w:rsidRDefault="00823C0E" w:rsidP="00E327DC">
            <w:pPr>
              <w:jc w:val="right"/>
              <w:rPr>
                <w:rFonts w:ascii="Century Gothic" w:hAnsi="Century Gothic"/>
                <w:color w:val="2E74B5" w:themeColor="accent5" w:themeShade="BF"/>
                <w:sz w:val="24"/>
                <w:szCs w:val="24"/>
              </w:rPr>
            </w:pPr>
            <w:r>
              <w:rPr>
                <w:rFonts w:ascii="Century Gothic" w:hAnsi="Century Gothic"/>
                <w:color w:val="2E74B5" w:themeColor="accent5" w:themeShade="BF"/>
                <w:sz w:val="24"/>
              </w:rPr>
              <w:t>DATA</w:t>
            </w:r>
          </w:p>
        </w:tc>
        <w:tc>
          <w:tcPr>
            <w:tcW w:w="10710" w:type="dxa"/>
            <w:shd w:val="clear" w:color="auto" w:fill="F2F2F2" w:themeFill="background1" w:themeFillShade="F2"/>
            <w:vAlign w:val="center"/>
          </w:tcPr>
          <w:p w14:paraId="5FAF7AB5" w14:textId="70ABE0E2" w:rsidR="00823C0E" w:rsidRPr="00E327DC" w:rsidRDefault="00823C0E" w:rsidP="00E327DC">
            <w:pPr>
              <w:rPr>
                <w:rFonts w:ascii="Century Gothic" w:hAnsi="Century Gothic"/>
                <w:color w:val="595959" w:themeColor="text1" w:themeTint="A6"/>
                <w:sz w:val="24"/>
                <w:szCs w:val="24"/>
              </w:rPr>
            </w:pPr>
            <w:r>
              <w:rPr>
                <w:rFonts w:ascii="Century Gothic" w:hAnsi="Century Gothic"/>
                <w:color w:val="595959" w:themeColor="text1" w:themeTint="A6"/>
                <w:sz w:val="24"/>
              </w:rPr>
              <w:t>GG/MM/AA</w:t>
            </w:r>
          </w:p>
        </w:tc>
      </w:tr>
    </w:tbl>
    <w:p w14:paraId="7A2D2479" w14:textId="2A8D30CE" w:rsidR="00E327DC" w:rsidRDefault="00E327DC">
      <w:pPr>
        <w:rPr>
          <w:rFonts w:ascii="Century Gothic" w:hAnsi="Century Gothic"/>
          <w:b/>
          <w:bCs/>
          <w:color w:val="595959" w:themeColor="text1" w:themeTint="A6"/>
          <w:sz w:val="24"/>
          <w:szCs w:val="24"/>
        </w:rPr>
      </w:pPr>
    </w:p>
    <w:p w14:paraId="7D311F54" w14:textId="7ABB2515"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noProof/>
          <w:color w:val="FFC000" w:themeColor="accent4"/>
          <w:sz w:val="36"/>
          <w:szCs w:val="36"/>
        </w:rPr>
        <w:lastRenderedPageBreak/>
        <mc:AlternateContent>
          <mc:Choice Requires="wps">
            <w:drawing>
              <wp:anchor distT="0" distB="0" distL="114300" distR="114300" simplePos="0" relativeHeight="251667456" behindDoc="0" locked="0" layoutInCell="1" allowOverlap="1" wp14:anchorId="788A85E5" wp14:editId="35BBFF31">
                <wp:simplePos x="0" y="0"/>
                <wp:positionH relativeFrom="column">
                  <wp:posOffset>19050</wp:posOffset>
                </wp:positionH>
                <wp:positionV relativeFrom="paragraph">
                  <wp:posOffset>76200</wp:posOffset>
                </wp:positionV>
                <wp:extent cx="133350" cy="6677025"/>
                <wp:effectExtent l="0" t="0" r="0" b="9525"/>
                <wp:wrapNone/>
                <wp:docPr id="1424478442"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B8CC2E" id="Rectangle 1" o:spid="_x0000_s1026" style="position:absolute;margin-left:1.5pt;margin-top:6pt;width:10.5pt;height:525.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" fillcolor="#deeaf6 [664]" stroked="f" strokeweight="1pt"/>
            </w:pict>
          </mc:Fallback>
        </mc:AlternateContent>
      </w:r>
      <w:r>
        <w:rPr>
          <w:rFonts w:ascii="Century Gothic" w:hAnsi="Century Gothic"/>
          <w:color w:val="BF8F00" w:themeColor="accent4" w:themeShade="BF"/>
          <w:sz w:val="36"/>
        </w:rPr>
        <w:t>EXECUTIVE SUMMARY</w:t>
      </w:r>
    </w:p>
    <w:p w14:paraId="4226641F" w14:textId="4872A05B" w:rsidR="00EB45FB" w:rsidRDefault="006612E0" w:rsidP="006612E0">
      <w:pPr>
        <w:pStyle w:val="ListParagraph"/>
        <w:ind w:left="2160"/>
        <w:rPr>
          <w:rFonts w:ascii="Century Gothic" w:hAnsi="Century Gothic"/>
          <w:color w:val="595959" w:themeColor="text1" w:themeTint="A6"/>
          <w:sz w:val="24"/>
          <w:szCs w:val="24"/>
        </w:rPr>
      </w:pPr>
      <w:r>
        <w:rPr>
          <w:rFonts w:ascii="Century Gothic" w:hAnsi="Century Gothic"/>
          <w:color w:val="595959" w:themeColor="text1" w:themeTint="A6"/>
          <w:sz w:val="24"/>
        </w:rPr>
        <w:t>In questo case study, presentiamo il percorso verso il successo di Positive Charge, un fornitore leader nel settore delle soluzioni di ricarica per veicoli elettrici, per trasformare le operazioni di ricarica di un’azienda che gestisce una flotta di veicoli elettrici. Questo case study delinea le sfide affrontate dal cliente, il nostro approccio a tali sfide e i risultati degni di nota che abbiamo raggiunto.</w:t>
      </w:r>
    </w:p>
    <w:p w14:paraId="5BFF1FCD" w14:textId="262AC69D"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rPr>
        <w:t>INTRODUZIONE: potenziare le operazioni della flotta EV</w:t>
      </w:r>
    </w:p>
    <w:p w14:paraId="6A951CC4" w14:textId="51F069F7" w:rsidR="00EB45FB" w:rsidRDefault="006612E0" w:rsidP="00EB45FB">
      <w:pPr>
        <w:pStyle w:val="ListParagraph"/>
        <w:ind w:left="2250"/>
        <w:rPr>
          <w:rFonts w:ascii="Century Gothic" w:hAnsi="Century Gothic"/>
          <w:color w:val="595959" w:themeColor="text1" w:themeTint="A6"/>
          <w:sz w:val="24"/>
          <w:szCs w:val="24"/>
        </w:rPr>
      </w:pPr>
      <w:r>
        <w:rPr>
          <w:rFonts w:ascii="Century Gothic" w:hAnsi="Century Gothic"/>
          <w:color w:val="595959" w:themeColor="text1" w:themeTint="A6"/>
          <w:sz w:val="24"/>
        </w:rPr>
        <w:t>L’introduzione definisce il contesto per il nostro case study. Approfondisce il mondo delle flotte EV e il ruolo critico ricoperto da un’infrastruttura di ricarica efficiente. Positive Charge, un partner di fiducia nelle soluzioni di ricarica per veicoli elettrici, ha collaborato con un’azienda lungimirante che gestisce una flotta di veicoli elettrici per affrontare le loro sfide in merito alla ricarica.</w:t>
      </w:r>
    </w:p>
    <w:p w14:paraId="702F4198" w14:textId="682213B0" w:rsidR="00EB45FB" w:rsidRDefault="00EB45FB" w:rsidP="00187AB6">
      <w:pPr>
        <w:pStyle w:val="ListParagraph"/>
        <w:numPr>
          <w:ilvl w:val="0"/>
          <w:numId w:val="1"/>
        </w:numPr>
        <w:spacing w:after="240"/>
        <w:ind w:left="2170" w:hanging="1092"/>
        <w:rPr>
          <w:rFonts w:ascii="Century Gothic" w:hAnsi="Century Gothic"/>
          <w:color w:val="BF8F00" w:themeColor="accent4" w:themeShade="BF"/>
          <w:sz w:val="36"/>
          <w:szCs w:val="36"/>
        </w:rPr>
      </w:pPr>
      <w:r>
        <w:rPr>
          <w:rFonts w:ascii="Century Gothic" w:hAnsi="Century Gothic"/>
          <w:color w:val="BF8F00" w:themeColor="accent4" w:themeShade="BF"/>
          <w:sz w:val="36"/>
        </w:rPr>
        <w:t>DESCRIZIONE DEL PROBLEMA: affrontare i colli di bottiglia del processo di ricarica</w:t>
      </w:r>
    </w:p>
    <w:p w14:paraId="692C6B0D" w14:textId="3243695F" w:rsidR="00EB45FB" w:rsidRDefault="006612E0" w:rsidP="00EB45FB">
      <w:pPr>
        <w:pStyle w:val="ListParagraph"/>
        <w:ind w:left="2250"/>
        <w:rPr>
          <w:rFonts w:ascii="Century Gothic" w:hAnsi="Century Gothic"/>
          <w:color w:val="595959" w:themeColor="text1" w:themeTint="A6"/>
          <w:sz w:val="24"/>
          <w:szCs w:val="24"/>
        </w:rPr>
      </w:pPr>
      <w:r>
        <w:rPr>
          <w:rFonts w:ascii="Century Gothic" w:hAnsi="Century Gothic"/>
          <w:color w:val="595959" w:themeColor="text1" w:themeTint="A6"/>
          <w:sz w:val="24"/>
        </w:rPr>
        <w:t>Il case study inizia definendo il problema in questione. L’azienda che gestisce la flotta di EV ha dovuto affrontare una sfida complessa: la sua flotta di EV in rapida crescita con infrastrutture limitate stava incontrando dei colli di bottiglia nel processo di ricarica. Questi colli di bottiglia causavano, a loro volta, un aumento dei tempi di fermo, con un impatto sull’efficienza operativa e costi inutili.</w:t>
      </w:r>
    </w:p>
    <w:p w14:paraId="1E7A681F" w14:textId="391A3681"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rPr>
        <w:t>CRITERI DECISIONALI E PRESUPPOSTI: guidare il percorso verso il futuro</w:t>
      </w:r>
    </w:p>
    <w:p w14:paraId="3954C5A1" w14:textId="5F813315" w:rsidR="00EB45FB" w:rsidRDefault="006612E0" w:rsidP="00EB45FB">
      <w:pPr>
        <w:pStyle w:val="ListParagraph"/>
        <w:ind w:left="2250"/>
        <w:rPr>
          <w:rFonts w:ascii="Century Gothic" w:hAnsi="Century Gothic"/>
          <w:color w:val="595959" w:themeColor="text1" w:themeTint="A6"/>
          <w:sz w:val="24"/>
          <w:szCs w:val="24"/>
        </w:rPr>
      </w:pPr>
      <w:r>
        <w:rPr>
          <w:rFonts w:ascii="Century Gothic" w:hAnsi="Century Gothic"/>
          <w:color w:val="595959" w:themeColor="text1" w:themeTint="A6"/>
          <w:sz w:val="24"/>
        </w:rPr>
        <w:t>I nostri criteri decisionali per valutare le alternative erano incentrati sulla riduzione al minimo dei tempi di inattività legati alla ricarica, sull’ottimizzazione dei costi operativi e sulla garanzia della scalabilità. I presupposti includevano la disponibilità delle risorse necessarie e l’impegno a implementare efficacemente la soluzione scelta.</w:t>
      </w:r>
    </w:p>
    <w:p w14:paraId="7D5D51F3" w14:textId="36876293" w:rsidR="00EB45FB" w:rsidRPr="00EB45FB" w:rsidRDefault="00EB45FB" w:rsidP="00EB45FB">
      <w:pPr>
        <w:pStyle w:val="ListParagraph"/>
        <w:numPr>
          <w:ilvl w:val="0"/>
          <w:numId w:val="1"/>
        </w:numPr>
        <w:ind w:left="1350"/>
        <w:rPr>
          <w:rFonts w:ascii="Century Gothic" w:hAnsi="Century Gothic"/>
          <w:color w:val="595959" w:themeColor="text1" w:themeTint="A6"/>
          <w:sz w:val="24"/>
          <w:szCs w:val="24"/>
        </w:rPr>
      </w:pPr>
      <w:r>
        <w:rPr>
          <w:rFonts w:ascii="Century Gothic" w:hAnsi="Century Gothic"/>
          <w:color w:val="BF8F00" w:themeColor="accent4" w:themeShade="BF"/>
          <w:sz w:val="36"/>
        </w:rPr>
        <w:t>ANALISI DEI DATI: approfondimenti illuminanti</w:t>
      </w:r>
    </w:p>
    <w:p w14:paraId="6882385A" w14:textId="77777777" w:rsidR="00656C10" w:rsidRDefault="006612E0" w:rsidP="00CE708C">
      <w:pPr>
        <w:pStyle w:val="ListParagraph"/>
        <w:ind w:left="2250"/>
        <w:rPr>
          <w:rFonts w:ascii="Century Gothic" w:hAnsi="Century Gothic"/>
          <w:color w:val="595959" w:themeColor="text1" w:themeTint="A6"/>
          <w:sz w:val="24"/>
          <w:szCs w:val="24"/>
        </w:rPr>
      </w:pPr>
      <w:r>
        <w:rPr>
          <w:rFonts w:ascii="Century Gothic" w:hAnsi="Century Gothic"/>
          <w:color w:val="595959" w:themeColor="text1" w:themeTint="A6"/>
          <w:sz w:val="24"/>
        </w:rPr>
        <w:t>Questa sezione presenta un’analisi dettagliata dei dati raccolti durante il case study. Include diagrammi, grafiche e narrazioni che rivelano approfondimenti sui modelli di ricarica, sulla crescita della flotta e sull’impatto fiscale delle sfide legate alla ricarica.</w:t>
      </w:r>
    </w:p>
    <w:p w14:paraId="59372AF8" w14:textId="77777777" w:rsidR="00656C10" w:rsidRDefault="00656C10">
      <w:pPr>
        <w:rPr>
          <w:rFonts w:ascii="Century Gothic" w:hAnsi="Century Gothic"/>
          <w:color w:val="595959" w:themeColor="text1" w:themeTint="A6"/>
          <w:sz w:val="24"/>
          <w:szCs w:val="24"/>
        </w:rPr>
      </w:pPr>
      <w:r>
        <w:rPr>
          <w:rFonts w:ascii="Century Gothic" w:hAnsi="Century Gothic"/>
          <w:color w:val="595959" w:themeColor="text1" w:themeTint="A6"/>
          <w:sz w:val="24"/>
          <w:szCs w:val="24"/>
        </w:rPr>
        <w:br w:type="page"/>
      </w:r>
    </w:p>
    <w:p w14:paraId="489F99E1" w14:textId="66B8C3A9" w:rsidR="00EB45FB" w:rsidRPr="00CE708C" w:rsidRDefault="00EB45FB" w:rsidP="00CE708C">
      <w:pPr>
        <w:pStyle w:val="ListParagraph"/>
        <w:ind w:left="2250"/>
        <w:rPr>
          <w:rFonts w:ascii="Century Gothic" w:hAnsi="Century Gothic"/>
          <w:color w:val="595959" w:themeColor="text1" w:themeTint="A6"/>
          <w:sz w:val="24"/>
          <w:szCs w:val="24"/>
        </w:rPr>
      </w:pPr>
      <w:r>
        <w:rPr>
          <w:noProof/>
        </w:rPr>
        <w:lastRenderedPageBreak/>
        <mc:AlternateContent>
          <mc:Choice Requires="wps">
            <w:drawing>
              <wp:anchor distT="0" distB="0" distL="114300" distR="114300" simplePos="0" relativeHeight="251669504" behindDoc="0" locked="0" layoutInCell="1" allowOverlap="1" wp14:anchorId="7B94B436" wp14:editId="111A51AC">
                <wp:simplePos x="0" y="0"/>
                <wp:positionH relativeFrom="column">
                  <wp:posOffset>19050</wp:posOffset>
                </wp:positionH>
                <wp:positionV relativeFrom="paragraph">
                  <wp:posOffset>-3175</wp:posOffset>
                </wp:positionV>
                <wp:extent cx="133350" cy="6677025"/>
                <wp:effectExtent l="0" t="0" r="0" b="9525"/>
                <wp:wrapNone/>
                <wp:docPr id="1477255423"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B873DD" id="Rectangle 1" o:spid="_x0000_s1026" style="position:absolute;margin-left:1.5pt;margin-top:-.25pt;width:10.5pt;height:52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" fillcolor="#deeaf6 [664]" stroked="f" strokeweight="1pt"/>
            </w:pict>
          </mc:Fallback>
        </mc:AlternateContent>
      </w:r>
    </w:p>
    <w:p w14:paraId="2DDF3519" w14:textId="5DE8FD31"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rPr>
        <w:t>LINEE D’AZIONE ALTERNATIVE: esplorare le soluzioni</w:t>
      </w:r>
    </w:p>
    <w:p w14:paraId="483BEA40" w14:textId="3F932E67" w:rsidR="00EB45FB" w:rsidRDefault="00CE708C" w:rsidP="00EB45FB">
      <w:pPr>
        <w:pStyle w:val="ListParagraph"/>
        <w:ind w:left="2250"/>
        <w:rPr>
          <w:rFonts w:ascii="Century Gothic" w:hAnsi="Century Gothic"/>
          <w:color w:val="595959" w:themeColor="text1" w:themeTint="A6"/>
          <w:sz w:val="24"/>
          <w:szCs w:val="24"/>
        </w:rPr>
      </w:pPr>
      <w:r>
        <w:rPr>
          <w:rFonts w:ascii="Century Gothic" w:hAnsi="Century Gothic"/>
          <w:color w:val="595959" w:themeColor="text1" w:themeTint="A6"/>
          <w:sz w:val="24"/>
        </w:rPr>
        <w:t>Abbiamo preso in considerazione diverse linee d’azione alternative, tra cui l’espansione dell’infrastruttura di ricarica, l’ottimizzazione dei programmi di ricarica e l’implementazione di tecnologie per la ricarica smart. Abbiamo valutato attentamente ogni opzione, considerandone la fattibilità e il potenziale impatto.</w:t>
      </w:r>
    </w:p>
    <w:p w14:paraId="3D966D52" w14:textId="2EC9D424"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rPr>
        <w:t>RACCOMANDAZIONI: trasformare le operazioni di ricarica</w:t>
      </w:r>
    </w:p>
    <w:p w14:paraId="06085371" w14:textId="05AA916A" w:rsidR="00EB45FB" w:rsidRDefault="006612E0" w:rsidP="00EB45FB">
      <w:pPr>
        <w:pStyle w:val="ListParagraph"/>
        <w:ind w:left="2250"/>
        <w:rPr>
          <w:rFonts w:ascii="Century Gothic" w:hAnsi="Century Gothic"/>
          <w:color w:val="595959" w:themeColor="text1" w:themeTint="A6"/>
          <w:sz w:val="24"/>
          <w:szCs w:val="24"/>
        </w:rPr>
      </w:pPr>
      <w:r>
        <w:rPr>
          <w:rFonts w:ascii="Century Gothic" w:hAnsi="Century Gothic"/>
          <w:color w:val="595959" w:themeColor="text1" w:themeTint="A6"/>
          <w:sz w:val="24"/>
        </w:rPr>
        <w:t>Sulla base dell’analisi completa, consigliamo di implementare una soluzione di ricarica integrata che includa l’espansione dell’infrastruttura, le tecnologie di ricarica smart e i programmi di ricarica ottimizzati. Questo approccio olistico affronterà efficacemente i colli di bottiglia legati alla ricarica e porterà all’efficienza operativa.</w:t>
      </w:r>
    </w:p>
    <w:p w14:paraId="0875BE11" w14:textId="09214E29"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rPr>
        <w:t>PIANO DI IMPLEMENTAZIONE: trasformare una visione in realtà</w:t>
      </w:r>
    </w:p>
    <w:p w14:paraId="6F80AE2A" w14:textId="7242E834" w:rsidR="00EB45FB" w:rsidRDefault="006612E0" w:rsidP="00EB45FB">
      <w:pPr>
        <w:pStyle w:val="ListParagraph"/>
        <w:ind w:left="2250"/>
        <w:rPr>
          <w:rFonts w:ascii="Century Gothic" w:hAnsi="Century Gothic"/>
          <w:color w:val="BF8F00" w:themeColor="accent4" w:themeShade="BF"/>
          <w:sz w:val="24"/>
          <w:szCs w:val="24"/>
        </w:rPr>
      </w:pPr>
      <w:r>
        <w:rPr>
          <w:rFonts w:ascii="Century Gothic" w:hAnsi="Century Gothic"/>
          <w:color w:val="595959" w:themeColor="text1" w:themeTint="A6"/>
          <w:sz w:val="24"/>
        </w:rPr>
        <w:t>Il piano di implementazione delinea una strategia dettagliata per attuare le nostre raccomandazioni. Include timeline, responsabilità, considerazioni sul budget e strategie di mitigazione dei rischi.</w:t>
      </w:r>
    </w:p>
    <w:p w14:paraId="36A67E2A" w14:textId="4B0DA93A"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rPr>
        <w:t>ALLEGATI E PROGRAMMAZIONI: visualizzare il percorso</w:t>
      </w:r>
    </w:p>
    <w:p w14:paraId="7130AB1F" w14:textId="7A4FF228" w:rsidR="006612E0" w:rsidRPr="006612E0" w:rsidRDefault="006612E0" w:rsidP="006612E0">
      <w:pPr>
        <w:pStyle w:val="ListParagraph"/>
        <w:ind w:left="2250"/>
        <w:rPr>
          <w:rFonts w:ascii="Century Gothic" w:hAnsi="Century Gothic"/>
          <w:color w:val="595959" w:themeColor="text1" w:themeTint="A6"/>
          <w:sz w:val="24"/>
          <w:szCs w:val="24"/>
        </w:rPr>
      </w:pPr>
      <w:r>
        <w:rPr>
          <w:rFonts w:ascii="Century Gothic" w:hAnsi="Century Gothic"/>
          <w:color w:val="595959" w:themeColor="text1" w:themeTint="A6"/>
          <w:sz w:val="24"/>
        </w:rPr>
        <w:t>Allegato A: Piano di espansione dell’infrastruttura di ricarica</w:t>
      </w:r>
    </w:p>
    <w:p w14:paraId="7321B1BB" w14:textId="5CE7EBF7" w:rsidR="006612E0" w:rsidRPr="006612E0" w:rsidRDefault="006612E0" w:rsidP="006612E0">
      <w:pPr>
        <w:pStyle w:val="ListParagraph"/>
        <w:ind w:left="2250"/>
        <w:rPr>
          <w:rFonts w:ascii="Century Gothic" w:hAnsi="Century Gothic"/>
          <w:color w:val="595959" w:themeColor="text1" w:themeTint="A6"/>
          <w:sz w:val="24"/>
          <w:szCs w:val="24"/>
        </w:rPr>
      </w:pPr>
      <w:r>
        <w:rPr>
          <w:rFonts w:ascii="Century Gothic" w:hAnsi="Century Gothic"/>
          <w:color w:val="595959" w:themeColor="text1" w:themeTint="A6"/>
          <w:sz w:val="24"/>
        </w:rPr>
        <w:t>Allegato B: Programmazione per l’ottimizzazione della ricarica</w:t>
      </w:r>
    </w:p>
    <w:p w14:paraId="6EAC3B4E" w14:textId="62F7DAF5" w:rsidR="006612E0" w:rsidRPr="006612E0" w:rsidRDefault="006612E0" w:rsidP="006612E0">
      <w:pPr>
        <w:pStyle w:val="ListParagraph"/>
        <w:ind w:left="2250"/>
        <w:rPr>
          <w:rFonts w:ascii="Century Gothic" w:hAnsi="Century Gothic"/>
          <w:color w:val="595959" w:themeColor="text1" w:themeTint="A6"/>
          <w:sz w:val="24"/>
          <w:szCs w:val="24"/>
        </w:rPr>
      </w:pPr>
      <w:r>
        <w:rPr>
          <w:rFonts w:ascii="Century Gothic" w:hAnsi="Century Gothic"/>
          <w:color w:val="595959" w:themeColor="text1" w:themeTint="A6"/>
          <w:sz w:val="24"/>
        </w:rPr>
        <w:t>Allegato C: Panoramica delle tecnologie di ricarica smart</w:t>
      </w:r>
    </w:p>
    <w:p w14:paraId="2AF9A799" w14:textId="331F9055" w:rsidR="00EB45FB" w:rsidRDefault="006612E0" w:rsidP="006612E0">
      <w:pPr>
        <w:pStyle w:val="ListParagraph"/>
        <w:ind w:left="2250"/>
        <w:rPr>
          <w:rFonts w:ascii="Century Gothic" w:hAnsi="Century Gothic"/>
          <w:color w:val="595959" w:themeColor="text1" w:themeTint="A6"/>
          <w:sz w:val="24"/>
          <w:szCs w:val="24"/>
        </w:rPr>
      </w:pPr>
      <w:r>
        <w:rPr>
          <w:rFonts w:ascii="Century Gothic" w:hAnsi="Century Gothic"/>
          <w:color w:val="595959" w:themeColor="text1" w:themeTint="A6"/>
          <w:sz w:val="24"/>
        </w:rPr>
        <w:t>Allegato D: Piano per la mitigazione dei rischi</w:t>
      </w:r>
    </w:p>
    <w:p w14:paraId="15FC93E0" w14:textId="0795F77B"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rPr>
        <w:t>RIFERIMENTI</w:t>
      </w:r>
    </w:p>
    <w:p w14:paraId="26A71C76" w14:textId="23B05169" w:rsidR="00762D74" w:rsidRPr="00EB45FB" w:rsidRDefault="00EB45FB" w:rsidP="00EB45FB">
      <w:pPr>
        <w:pStyle w:val="ListParagraph"/>
        <w:ind w:left="2250"/>
        <w:rPr>
          <w:rFonts w:ascii="Century Gothic" w:hAnsi="Century Gothic"/>
          <w:color w:val="BF8F00" w:themeColor="accent4" w:themeShade="BF"/>
          <w:sz w:val="24"/>
          <w:szCs w:val="24"/>
        </w:rPr>
      </w:pPr>
      <w:r>
        <w:rPr>
          <w:rFonts w:ascii="Century Gothic" w:hAnsi="Century Gothic"/>
          <w:color w:val="595959" w:themeColor="text1" w:themeTint="A6"/>
          <w:sz w:val="24"/>
        </w:rPr>
        <w:t>Elenca tutte le fonti, i riferimenti e le citazioni utilizzati nel report del case study. Segui uno stile di citazione coerente (ad esempio APA, MLA) e fornisci dettagli completi di pubblicazione per ogni fonte, inclusi libri, articoli, siti web e interviste.</w:t>
      </w:r>
      <w:r w:rsidR="00A108D8" w:rsidRPr="00EB45FB">
        <w:rPr>
          <w:rFonts w:ascii="Century Gothic" w:hAnsi="Century Gothic"/>
          <w:color w:val="BF8F00" w:themeColor="accent4" w:themeShade="BF"/>
          <w:sz w:val="24"/>
          <w:szCs w:val="24"/>
        </w:rPr>
        <w:br w:type="page"/>
      </w:r>
    </w:p>
    <w:p w14:paraId="3DE3E235" w14:textId="469F6B87" w:rsidR="00823C0E" w:rsidRDefault="00823C0E">
      <w:pPr>
        <w:rPr>
          <w:rFonts w:ascii="Century Gothic" w:hAnsi="Century Gothic"/>
          <w:b/>
          <w:bCs/>
          <w:color w:val="595959" w:themeColor="text1" w:themeTint="A6"/>
          <w:sz w:val="24"/>
          <w:szCs w:val="24"/>
        </w:rPr>
      </w:pP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515C0D" w:rsidRPr="003D706E" w14:paraId="3EE5D30F" w14:textId="77777777" w:rsidTr="00515C0D">
        <w:trPr>
          <w:trHeight w:val="2706"/>
        </w:trPr>
        <w:tc>
          <w:tcPr>
            <w:tcW w:w="14130" w:type="dxa"/>
          </w:tcPr>
          <w:p w14:paraId="299E2D02" w14:textId="77777777" w:rsidR="00515C0D" w:rsidRPr="003D706E" w:rsidRDefault="00515C0D" w:rsidP="001647D3">
            <w:pPr>
              <w:jc w:val="center"/>
              <w:rPr>
                <w:rFonts w:ascii="Century Gothic" w:hAnsi="Century Gothic" w:cs="Arial"/>
                <w:b/>
                <w:color w:val="000000" w:themeColor="text1"/>
                <w:sz w:val="20"/>
                <w:szCs w:val="20"/>
              </w:rPr>
            </w:pPr>
            <w:r>
              <w:rPr>
                <w:rFonts w:ascii="Century Gothic" w:hAnsi="Century Gothic"/>
                <w:b/>
                <w:color w:val="000000" w:themeColor="text1"/>
                <w:sz w:val="20"/>
              </w:rPr>
              <w:t>DICHIARAZIONE DI NON RESPONSABILITÀ</w:t>
            </w:r>
          </w:p>
          <w:p w14:paraId="343171A1" w14:textId="77777777" w:rsidR="00515C0D" w:rsidRPr="003D706E" w:rsidRDefault="00515C0D" w:rsidP="001647D3">
            <w:pPr>
              <w:rPr>
                <w:rFonts w:ascii="Century Gothic" w:hAnsi="Century Gothic" w:cs="Arial"/>
                <w:color w:val="000000" w:themeColor="text1"/>
                <w:szCs w:val="20"/>
              </w:rPr>
            </w:pPr>
          </w:p>
          <w:p w14:paraId="67E10766" w14:textId="77777777" w:rsidR="00515C0D" w:rsidRPr="003D706E" w:rsidRDefault="00515C0D" w:rsidP="001647D3">
            <w:pPr>
              <w:rPr>
                <w:rFonts w:ascii="Century Gothic" w:hAnsi="Century Gothic" w:cs="Arial"/>
                <w:color w:val="000000" w:themeColor="text1"/>
                <w:sz w:val="20"/>
                <w:szCs w:val="20"/>
              </w:rPr>
            </w:pPr>
            <w:r>
              <w:rPr>
                <w:rFonts w:ascii="Century Gothic" w:hAnsi="Century Gothic"/>
                <w:color w:val="000000" w:themeColor="text1"/>
              </w:rPr>
              <w:t>Qualsiasi articolo, modello o informazione è fornito da Smartsheet sul sito web solo come riferimento. Pur adoperandoci per mantenere le informazioni aggiornate e corrette, non offriamo alcuna garanzia o dichiarazione di alcun tipo, esplicita o implicita, relativamente alla completezza, l’accuratezza, l’affidabilità, l’idoneità o la disponibilità rispetto al sito web o le informazioni, gli articoli, i modelli o la relativa grafica contenuti nel sito. Qualsiasi affidamento si faccia su tali informazioni è pertanto strettamente a proprio rischio.</w:t>
            </w:r>
          </w:p>
        </w:tc>
      </w:tr>
    </w:tbl>
    <w:p w14:paraId="11DEBBB9" w14:textId="77777777" w:rsidR="00515C0D" w:rsidRPr="003D706E" w:rsidRDefault="00515C0D" w:rsidP="00515C0D">
      <w:pPr>
        <w:rPr>
          <w:rFonts w:ascii="Century Gothic" w:hAnsi="Century Gothic"/>
          <w:b/>
          <w:color w:val="000000" w:themeColor="text1"/>
          <w:sz w:val="32"/>
          <w:szCs w:val="44"/>
        </w:rPr>
      </w:pPr>
    </w:p>
    <w:p w14:paraId="5418DEB4" w14:textId="6CECF6CD" w:rsidR="00762D74" w:rsidRPr="00762D74" w:rsidRDefault="00762D74">
      <w:pPr>
        <w:rPr>
          <w:rFonts w:ascii="Century Gothic" w:hAnsi="Century Gothic"/>
          <w:b/>
          <w:bCs/>
          <w:color w:val="595959" w:themeColor="text1" w:themeTint="A6"/>
          <w:sz w:val="24"/>
          <w:szCs w:val="24"/>
        </w:rPr>
      </w:pPr>
    </w:p>
    <w:sectPr w:rsidR="00762D74" w:rsidRPr="00762D74" w:rsidSect="00DF2F51">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17AA1"/>
    <w:multiLevelType w:val="hybridMultilevel"/>
    <w:tmpl w:val="FE2EF922"/>
    <w:lvl w:ilvl="0" w:tplc="50E6E9C8">
      <w:start w:val="1"/>
      <w:numFmt w:val="decimal"/>
      <w:lvlText w:val="%1."/>
      <w:lvlJc w:val="left"/>
      <w:pPr>
        <w:ind w:left="1260" w:hanging="360"/>
      </w:pPr>
      <w:rPr>
        <w:rFonts w:hint="default"/>
        <w:color w:val="BF8F00" w:themeColor="accent4" w:themeShade="BF"/>
        <w:sz w:val="64"/>
        <w:szCs w:val="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D5DC8"/>
    <w:multiLevelType w:val="hybridMultilevel"/>
    <w:tmpl w:val="198ED068"/>
    <w:lvl w:ilvl="0" w:tplc="FFFFFFFF">
      <w:start w:val="1"/>
      <w:numFmt w:val="decimal"/>
      <w:lvlText w:val="%1."/>
      <w:lvlJc w:val="left"/>
      <w:pPr>
        <w:ind w:left="1530" w:hanging="360"/>
      </w:pPr>
      <w:rPr>
        <w:rFonts w:hint="default"/>
        <w:sz w:val="64"/>
        <w:szCs w:val="64"/>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num w:numId="1" w16cid:durableId="1352682209">
    <w:abstractNumId w:val="0"/>
  </w:num>
  <w:num w:numId="2" w16cid:durableId="2093237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122BE0"/>
    <w:rsid w:val="00187AB6"/>
    <w:rsid w:val="0022017E"/>
    <w:rsid w:val="00251EAF"/>
    <w:rsid w:val="00307361"/>
    <w:rsid w:val="00377831"/>
    <w:rsid w:val="00384116"/>
    <w:rsid w:val="00515C0D"/>
    <w:rsid w:val="0062361E"/>
    <w:rsid w:val="00656C10"/>
    <w:rsid w:val="006612E0"/>
    <w:rsid w:val="00684BB4"/>
    <w:rsid w:val="006D513A"/>
    <w:rsid w:val="007336DD"/>
    <w:rsid w:val="00753177"/>
    <w:rsid w:val="00762D74"/>
    <w:rsid w:val="00823C0E"/>
    <w:rsid w:val="009D4580"/>
    <w:rsid w:val="00A108D8"/>
    <w:rsid w:val="00A93C31"/>
    <w:rsid w:val="00B84438"/>
    <w:rsid w:val="00BD3556"/>
    <w:rsid w:val="00C757A0"/>
    <w:rsid w:val="00CE708C"/>
    <w:rsid w:val="00D2241B"/>
    <w:rsid w:val="00D23CEB"/>
    <w:rsid w:val="00D52D10"/>
    <w:rsid w:val="00DF2F51"/>
    <w:rsid w:val="00E327DC"/>
    <w:rsid w:val="00EB45FB"/>
    <w:rsid w:val="00F96FF3"/>
    <w:rsid w:val="00FB45E6"/>
    <w:rsid w:val="00FF28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it.smartsheet.com/try-it?trp=38127"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759</Words>
  <Characters>4330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Mira Li</cp:lastModifiedBy>
  <cp:revision>10</cp:revision>
  <dcterms:created xsi:type="dcterms:W3CDTF">2024-01-17T03:37:00Z</dcterms:created>
  <dcterms:modified xsi:type="dcterms:W3CDTF">2025-01-21T12:55:00Z</dcterms:modified>
</cp:coreProperties>
</file>