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001B3D0E" w:rsidR="00BE5BAF" w:rsidRPr="00B14B45" w:rsidRDefault="00385C71" w:rsidP="00956391">
      <w:pPr>
        <w:outlineLvl w:val="0"/>
        <w:rPr>
          <w:b/>
          <w:color w:val="595959" w:themeColor="text1" w:themeTint="A6"/>
          <w:spacing w:val="-10"/>
          <w:sz w:val="40"/>
          <w:szCs w:val="48"/>
        </w:rPr>
      </w:pPr>
      <w:r w:rsidRPr="00B14B45">
        <w:rPr>
          <w:noProof/>
          <w:color w:val="595959" w:themeColor="text1" w:themeTint="A6"/>
          <w:spacing w:val="-10"/>
          <w:sz w:val="21"/>
          <w:szCs w:val="28"/>
        </w:rPr>
        <w:drawing>
          <wp:anchor distT="0" distB="0" distL="114300" distR="114300" simplePos="0" relativeHeight="251659264" behindDoc="0" locked="0" layoutInCell="1" allowOverlap="1" wp14:anchorId="264AE1F3" wp14:editId="2BCDB87A">
            <wp:simplePos x="0" y="0"/>
            <wp:positionH relativeFrom="column">
              <wp:posOffset>6614160</wp:posOffset>
            </wp:positionH>
            <wp:positionV relativeFrom="paragraph">
              <wp:posOffset>-43815</wp:posOffset>
            </wp:positionV>
            <wp:extent cx="2714998" cy="5400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page">
              <wp14:pctWidth>0</wp14:pctWidth>
            </wp14:sizeRelH>
            <wp14:sizeRelV relativeFrom="page">
              <wp14:pctHeight>0</wp14:pctHeight>
            </wp14:sizeRelV>
          </wp:anchor>
        </w:drawing>
      </w:r>
      <w:r w:rsidRPr="00B14B45">
        <w:rPr>
          <w:b/>
          <w:color w:val="595959" w:themeColor="text1" w:themeTint="A6"/>
          <w:spacing w:val="-10"/>
          <w:sz w:val="40"/>
        </w:rPr>
        <w:t>ESEMPIO DI MODELLO DI PROJECT CHARTER AVANZATO</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Pr>
          <w:color w:val="000000"/>
          <w:sz w:val="28"/>
        </w:rPr>
        <w:t>INFORMAZIONI GENERALI SUL PROGETTO</w:t>
      </w:r>
    </w:p>
    <w:tbl>
      <w:tblPr>
        <w:tblW w:w="14600" w:type="dxa"/>
        <w:tblLook w:val="04A0" w:firstRow="1" w:lastRow="0" w:firstColumn="1" w:lastColumn="0" w:noHBand="0" w:noVBand="1"/>
      </w:tblPr>
      <w:tblGrid>
        <w:gridCol w:w="3227"/>
        <w:gridCol w:w="2856"/>
        <w:gridCol w:w="1855"/>
        <w:gridCol w:w="2835"/>
        <w:gridCol w:w="3827"/>
      </w:tblGrid>
      <w:tr w:rsidR="00DF2624" w:rsidRPr="00DF2624" w14:paraId="13A90B3A" w14:textId="77777777" w:rsidTr="00B14B45">
        <w:trPr>
          <w:trHeight w:val="359"/>
        </w:trPr>
        <w:tc>
          <w:tcPr>
            <w:tcW w:w="7938"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Pr>
                <w:color w:val="000000"/>
              </w:rPr>
              <w:t>NOME PROGETTO</w:t>
            </w:r>
          </w:p>
        </w:tc>
        <w:tc>
          <w:tcPr>
            <w:tcW w:w="2835"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Pr>
                <w:color w:val="000000"/>
              </w:rPr>
              <w:t>PROJECT MANAGER</w:t>
            </w:r>
          </w:p>
        </w:tc>
        <w:tc>
          <w:tcPr>
            <w:tcW w:w="3827"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Pr>
                <w:color w:val="000000"/>
              </w:rPr>
              <w:t>SPONSOR DEL PROGETTO</w:t>
            </w:r>
          </w:p>
        </w:tc>
      </w:tr>
      <w:tr w:rsidR="00DF2624" w:rsidRPr="00DF2624" w14:paraId="3B1BC951" w14:textId="77777777" w:rsidTr="00B14B45">
        <w:trPr>
          <w:trHeight w:val="576"/>
        </w:trPr>
        <w:tc>
          <w:tcPr>
            <w:tcW w:w="7938"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Pr>
                <w:color w:val="000000"/>
                <w:sz w:val="24"/>
              </w:rPr>
              <w:t xml:space="preserve">Installazioni di stazioni EMV Positive Charge </w:t>
            </w:r>
          </w:p>
        </w:tc>
        <w:tc>
          <w:tcPr>
            <w:tcW w:w="2835"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Pr>
                <w:color w:val="000000"/>
                <w:sz w:val="24"/>
              </w:rPr>
              <w:t>Jane Matthews</w:t>
            </w:r>
          </w:p>
        </w:tc>
        <w:tc>
          <w:tcPr>
            <w:tcW w:w="3827"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Pr>
                <w:color w:val="000000"/>
                <w:sz w:val="24"/>
              </w:rPr>
              <w:t>Jill DeGrassio</w:t>
            </w:r>
          </w:p>
        </w:tc>
      </w:tr>
      <w:tr w:rsidR="00DF2624" w:rsidRPr="00DF2624" w14:paraId="26C3C348" w14:textId="77777777" w:rsidTr="00B14B4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Pr>
                <w:color w:val="000000"/>
              </w:rPr>
              <w:t>E-MAIL</w:t>
            </w:r>
          </w:p>
        </w:tc>
        <w:tc>
          <w:tcPr>
            <w:tcW w:w="1855"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Pr>
                <w:color w:val="000000"/>
              </w:rPr>
              <w:t>TELEFONO</w:t>
            </w:r>
          </w:p>
        </w:tc>
        <w:tc>
          <w:tcPr>
            <w:tcW w:w="6662"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Pr>
                <w:color w:val="000000"/>
              </w:rPr>
              <w:t>UNITÀ ORGANIZZATIVA/E</w:t>
            </w:r>
          </w:p>
        </w:tc>
      </w:tr>
      <w:tr w:rsidR="00DF2624" w:rsidRPr="00DF2624" w14:paraId="071C305F" w14:textId="77777777" w:rsidTr="00B14B45">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Pr>
                <w:color w:val="000000"/>
                <w:sz w:val="22"/>
              </w:rPr>
              <w:t>jane.matthews@positivecharge.com</w:t>
            </w:r>
          </w:p>
        </w:tc>
        <w:tc>
          <w:tcPr>
            <w:tcW w:w="1855" w:type="dxa"/>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Pr>
                <w:color w:val="000000"/>
                <w:sz w:val="22"/>
              </w:rPr>
              <w:t>000-000-0000</w:t>
            </w:r>
          </w:p>
        </w:tc>
        <w:tc>
          <w:tcPr>
            <w:tcW w:w="6662"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Pr>
                <w:color w:val="000000"/>
                <w:sz w:val="22"/>
              </w:rPr>
              <w:t xml:space="preserve">Ufficio tecnico, Operazioni e Gestione dei progetti </w:t>
            </w:r>
          </w:p>
        </w:tc>
      </w:tr>
      <w:tr w:rsidR="00DF2624" w:rsidRPr="00DF2624" w14:paraId="00637531" w14:textId="77777777" w:rsidTr="00B14B4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Pr>
                <w:color w:val="000000"/>
              </w:rPr>
              <w:t>CINTURE VERDI ASSEGNATE</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Pr>
                <w:color w:val="000000"/>
              </w:rPr>
              <w:t> </w:t>
            </w:r>
          </w:p>
        </w:tc>
        <w:tc>
          <w:tcPr>
            <w:tcW w:w="1855"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Pr>
                <w:color w:val="000000"/>
              </w:rPr>
              <w:t> </w:t>
            </w:r>
          </w:p>
        </w:tc>
        <w:tc>
          <w:tcPr>
            <w:tcW w:w="2835"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Pr>
                <w:color w:val="000000"/>
              </w:rPr>
              <w:t>DATA DI INIZIO PREVISTA</w:t>
            </w:r>
          </w:p>
        </w:tc>
        <w:tc>
          <w:tcPr>
            <w:tcW w:w="3827"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Pr>
                <w:color w:val="000000"/>
              </w:rPr>
              <w:t>DATA DI COMPLETAMENTO PREVISTA</w:t>
            </w:r>
          </w:p>
        </w:tc>
      </w:tr>
      <w:tr w:rsidR="00DF2624" w:rsidRPr="00DF2624" w14:paraId="40FA1F9D" w14:textId="77777777" w:rsidTr="00B14B45">
        <w:trPr>
          <w:trHeight w:val="576"/>
        </w:trPr>
        <w:tc>
          <w:tcPr>
            <w:tcW w:w="7938"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2938A2F" w14:textId="77777777" w:rsidR="00DF2624" w:rsidRPr="00DF2624" w:rsidRDefault="00DF2624" w:rsidP="00900512">
            <w:pPr>
              <w:rPr>
                <w:rFonts w:cs="Calibri"/>
                <w:color w:val="000000"/>
                <w:sz w:val="22"/>
                <w:szCs w:val="22"/>
              </w:rPr>
            </w:pPr>
            <w:r>
              <w:rPr>
                <w:color w:val="000000"/>
                <w:sz w:val="22"/>
              </w:rPr>
              <w:t xml:space="preserve">Wendy Williams (Gestione progetti) </w:t>
            </w:r>
          </w:p>
        </w:tc>
        <w:tc>
          <w:tcPr>
            <w:tcW w:w="2835"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7128D516" w14:textId="5F9A2B57" w:rsidR="00DF2624" w:rsidRPr="00DF2624" w:rsidRDefault="00DF2624" w:rsidP="00DF2624">
            <w:pPr>
              <w:jc w:val="center"/>
              <w:rPr>
                <w:rFonts w:cs="Calibri"/>
                <w:color w:val="000000"/>
                <w:sz w:val="22"/>
                <w:szCs w:val="22"/>
              </w:rPr>
            </w:pPr>
            <w:r>
              <w:rPr>
                <w:color w:val="000000"/>
                <w:sz w:val="22"/>
              </w:rPr>
              <w:t>19/02/20XX</w:t>
            </w:r>
          </w:p>
        </w:tc>
        <w:tc>
          <w:tcPr>
            <w:tcW w:w="3827"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DF2624" w:rsidRPr="00DF2624" w:rsidRDefault="00DF2624" w:rsidP="00DF2624">
            <w:pPr>
              <w:jc w:val="center"/>
              <w:rPr>
                <w:rFonts w:cs="Calibri"/>
                <w:color w:val="000000"/>
                <w:sz w:val="22"/>
                <w:szCs w:val="22"/>
              </w:rPr>
            </w:pPr>
            <w:r>
              <w:rPr>
                <w:color w:val="000000"/>
                <w:sz w:val="22"/>
              </w:rPr>
              <w:t>30/11/20XX</w:t>
            </w:r>
          </w:p>
        </w:tc>
      </w:tr>
      <w:tr w:rsidR="00DF2624" w:rsidRPr="00DF2624" w14:paraId="6B35A27C" w14:textId="77777777" w:rsidTr="00B14B4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Pr>
                <w:color w:val="000000"/>
              </w:rPr>
              <w:t>CINTURE NERE ASSEGNATE</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Pr>
                <w:color w:val="000000"/>
              </w:rPr>
              <w:t> </w:t>
            </w:r>
          </w:p>
        </w:tc>
        <w:tc>
          <w:tcPr>
            <w:tcW w:w="1855"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Pr>
                <w:color w:val="000000"/>
              </w:rPr>
              <w:t> </w:t>
            </w:r>
          </w:p>
        </w:tc>
        <w:tc>
          <w:tcPr>
            <w:tcW w:w="2835"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Pr>
                <w:color w:val="000000"/>
              </w:rPr>
              <w:t>RISPARMI PREVISTI</w:t>
            </w:r>
          </w:p>
        </w:tc>
        <w:tc>
          <w:tcPr>
            <w:tcW w:w="3827"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Pr>
                <w:color w:val="000000"/>
              </w:rPr>
              <w:t>COSTI STIMATI</w:t>
            </w:r>
          </w:p>
        </w:tc>
      </w:tr>
      <w:tr w:rsidR="00DF2624" w:rsidRPr="00DF2624" w14:paraId="285C6488" w14:textId="77777777" w:rsidTr="00B14B45">
        <w:trPr>
          <w:trHeight w:val="576"/>
        </w:trPr>
        <w:tc>
          <w:tcPr>
            <w:tcW w:w="7938"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3A75E5B" w14:textId="77777777" w:rsidR="00DF2624" w:rsidRPr="00DF2624" w:rsidRDefault="00DF2624" w:rsidP="00900512">
            <w:pPr>
              <w:rPr>
                <w:rFonts w:cs="Calibri"/>
                <w:color w:val="000000"/>
                <w:sz w:val="22"/>
                <w:szCs w:val="22"/>
              </w:rPr>
            </w:pPr>
            <w:r>
              <w:rPr>
                <w:color w:val="000000"/>
                <w:sz w:val="22"/>
              </w:rPr>
              <w:t xml:space="preserve">Rakesh Agarwal (Direttore delle operazioni) </w:t>
            </w:r>
          </w:p>
        </w:tc>
        <w:tc>
          <w:tcPr>
            <w:tcW w:w="2835"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46DB7232" w14:textId="77777777" w:rsidR="00DF2624" w:rsidRPr="00DF2624" w:rsidRDefault="00DF2624" w:rsidP="00DF2624">
            <w:pPr>
              <w:jc w:val="center"/>
              <w:rPr>
                <w:rFonts w:cs="Calibri"/>
                <w:color w:val="000000"/>
                <w:sz w:val="22"/>
                <w:szCs w:val="22"/>
              </w:rPr>
            </w:pPr>
            <w:r>
              <w:rPr>
                <w:color w:val="000000"/>
                <w:sz w:val="22"/>
              </w:rPr>
              <w:t>897.654 €</w:t>
            </w:r>
          </w:p>
        </w:tc>
        <w:tc>
          <w:tcPr>
            <w:tcW w:w="3827"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6BB8B749" w14:textId="77777777" w:rsidR="00DF2624" w:rsidRPr="00DF2624" w:rsidRDefault="00DF2624" w:rsidP="00DF2624">
            <w:pPr>
              <w:jc w:val="center"/>
              <w:rPr>
                <w:rFonts w:cs="Calibri"/>
                <w:color w:val="000000"/>
                <w:sz w:val="22"/>
                <w:szCs w:val="22"/>
              </w:rPr>
            </w:pPr>
            <w:r>
              <w:rPr>
                <w:color w:val="000000"/>
                <w:sz w:val="22"/>
              </w:rPr>
              <w:t>453.218 €</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Pr>
          <w:color w:val="000000"/>
          <w:sz w:val="28"/>
        </w:rPr>
        <w:t>PANORAMICA DEL PROGETTO</w:t>
      </w:r>
    </w:p>
    <w:tbl>
      <w:tblPr>
        <w:tblW w:w="14600" w:type="dxa"/>
        <w:tblInd w:w="-5" w:type="dxa"/>
        <w:tblLook w:val="04A0" w:firstRow="1" w:lastRow="0" w:firstColumn="1" w:lastColumn="0" w:noHBand="0" w:noVBand="1"/>
      </w:tblPr>
      <w:tblGrid>
        <w:gridCol w:w="2626"/>
        <w:gridCol w:w="11974"/>
      </w:tblGrid>
      <w:tr w:rsidR="00564375" w:rsidRPr="00DF2624" w14:paraId="488A67DB" w14:textId="77777777" w:rsidTr="00564375">
        <w:trPr>
          <w:trHeight w:val="864"/>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431166" w14:textId="5FCCA66C" w:rsidR="00564375" w:rsidRPr="00DF2624" w:rsidRDefault="00564375" w:rsidP="00395D9B">
            <w:pPr>
              <w:rPr>
                <w:rFonts w:cs="Calibri"/>
                <w:color w:val="000000"/>
                <w:sz w:val="24"/>
              </w:rPr>
            </w:pPr>
            <w:r>
              <w:rPr>
                <w:color w:val="000000"/>
                <w:sz w:val="24"/>
              </w:rPr>
              <w:t xml:space="preserve">PROBLEMA O QUESTIONE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Pr>
                <w:color w:val="000000"/>
                <w:sz w:val="22"/>
              </w:rPr>
              <w:t xml:space="preserve">Il nostro obiettivo per questo progetto è installare 1125 stazioni di ricarica per EV in 116 sedi tra Stati Uniti, Messico e Canada per soddisfare le esigenze di ricarica per EV dei centri commerciali e delle stazioni di servizio. </w:t>
            </w:r>
          </w:p>
        </w:tc>
      </w:tr>
      <w:tr w:rsidR="00564375" w:rsidRPr="00DF2624" w14:paraId="60B44BB6"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Pr>
                <w:color w:val="000000"/>
                <w:sz w:val="24"/>
              </w:rPr>
              <w:t>SCOPO DEL PROGETTO</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Pr>
                <w:color w:val="000000"/>
                <w:sz w:val="22"/>
              </w:rPr>
              <w:t xml:space="preserve">L'implementazione delle 1125 stazioni di ricarica per EV ridurrà le emissioni di combustibili fossili e avrà un impatto positivo sull'ambiente. Ciò contribuirà a soddisfare la missione di Positive Charge di diventare il più grande fornitore di ricarica per EV al mondo e ridurre l'impatto ambientale delle auto a combustibili fossili attraverso i nostri servizi. </w:t>
            </w:r>
          </w:p>
        </w:tc>
      </w:tr>
      <w:tr w:rsidR="00564375" w:rsidRPr="00DF2624" w14:paraId="7D4C6E36" w14:textId="77777777" w:rsidTr="00564375">
        <w:trPr>
          <w:trHeight w:val="159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Pr>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DF2624" w:rsidRDefault="00564375" w:rsidP="000F6660">
            <w:pPr>
              <w:rPr>
                <w:rFonts w:cs="Calibri"/>
                <w:color w:val="000000"/>
                <w:sz w:val="22"/>
                <w:szCs w:val="22"/>
              </w:rPr>
            </w:pPr>
            <w:r>
              <w:rPr>
                <w:color w:val="000000"/>
                <w:sz w:val="22"/>
              </w:rPr>
              <w:t xml:space="preserve">Man mano che i veicoli elettrici diventano più diffusi, sono necessarie più stazioni di ricarica per EV per soddisfare le esigenze di ricarica dei conducenti di veicoli elettrici. L'implementazione delle 1125 stazioni di ricarica per EV in 116 sedi tra Stati Uniti, Messico e Canada per ospitare il “traffico” di ricarica per EV dei centri commerciali e delle stazioni di servizio ridurrà le distanze che i conducenti di veicoli elettrici devono percorrere per raggiungere la stazione di ricarica successiva. L'implementazione delle stazioni di ricarica per EV comporterà anche un profitto del 24% per Positive Charge. </w:t>
            </w:r>
          </w:p>
        </w:tc>
      </w:tr>
      <w:tr w:rsidR="00564375" w:rsidRPr="00DF2624" w14:paraId="09664765"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Pr>
                <w:color w:val="000000"/>
                <w:sz w:val="24"/>
              </w:rPr>
              <w:t>OBIETTIVI/PARAMETRI</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DF2624" w:rsidRDefault="00564375" w:rsidP="000F6660">
            <w:pPr>
              <w:rPr>
                <w:rFonts w:cs="Calibri"/>
                <w:color w:val="000000"/>
                <w:sz w:val="22"/>
                <w:szCs w:val="22"/>
              </w:rPr>
            </w:pPr>
            <w:r>
              <w:rPr>
                <w:color w:val="000000"/>
                <w:sz w:val="22"/>
              </w:rPr>
              <w:t xml:space="preserve">L'obiettivo del progetto è quello di installare 1125 stazioni di ricarica per EV in 116 sedi tra Stati Uniti, Messico e Canada. I parametri utilizzati per misurare il successo saranno principalmente i seguenti indicatori chiave di prestazione (KPI): crescita dei ricavi, tasso di fidelizzazione dei clienti e soddisfazione dei clienti. </w:t>
            </w:r>
          </w:p>
        </w:tc>
      </w:tr>
      <w:tr w:rsidR="00564375" w:rsidRPr="00DF2624" w14:paraId="48F2ACC2" w14:textId="77777777" w:rsidTr="00564375">
        <w:trPr>
          <w:trHeight w:val="864"/>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Pr>
                <w:color w:val="000000"/>
                <w:sz w:val="24"/>
              </w:rPr>
              <w:t>DELIVERABLE PREVISTI</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DF2624" w:rsidRDefault="00564375" w:rsidP="000F6660">
            <w:pPr>
              <w:rPr>
                <w:rFonts w:cs="Calibri"/>
                <w:color w:val="000000"/>
                <w:sz w:val="22"/>
                <w:szCs w:val="22"/>
              </w:rPr>
            </w:pPr>
            <w:r>
              <w:rPr>
                <w:color w:val="000000"/>
                <w:sz w:val="22"/>
              </w:rPr>
              <w:t xml:space="preserve">Installazione di 1125 stazioni di ricarica per EV in 116 sedi tra Stati Uniti, Messico e Canada per soddisfare le esigenze di ricarica per EV dei centri commerciali e delle stazioni di servizio. </w:t>
            </w:r>
          </w:p>
        </w:tc>
      </w:tr>
    </w:tbl>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Pr>
          <w:color w:val="000000"/>
          <w:sz w:val="28"/>
        </w:rPr>
        <w:lastRenderedPageBreak/>
        <w:t>AMBITO DEL PROGETTO</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F6660">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Pr>
                <w:color w:val="000000"/>
                <w:sz w:val="24"/>
              </w:rPr>
              <w:t>INCLUSO NELL'AMBITO</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Pr>
                <w:color w:val="000000"/>
                <w:sz w:val="22"/>
              </w:rPr>
              <w:t xml:space="preserve">Gli ingegneri operativi, i project manager e gli ingegneri di implementazione sul campo lavoreranno con il personale di terze parti del sito del cliente per installare 1125 stazioni di ricarica per EV in 116 sedi tra Stati Uniti, Messico e Canada. </w:t>
            </w:r>
          </w:p>
        </w:tc>
      </w:tr>
      <w:tr w:rsidR="00564375" w:rsidRPr="00DF2624" w14:paraId="086A2494" w14:textId="77777777" w:rsidTr="000F6660">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Pr>
                <w:color w:val="000000"/>
                <w:sz w:val="24"/>
              </w:rPr>
              <w:t>AL DI FUORI DELL'AMBITO</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Pr>
                <w:color w:val="000000"/>
                <w:sz w:val="22"/>
              </w:rPr>
              <w:t xml:space="preserve">Positive Charge non è responsabile per i lavori preparatori di terze parti/clienti (ad es. permessi di scavo, logistica della disponibilità elettrica della regione della città, ecc.). Tuttavia, i project manager di Positive Charge possono fornire ai clienti una checklist per assicurarsi che le loro sedi siano adeguatamente preparate per l'installazione delle nostre stazioni di ricarica per EV.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Pr>
          <w:color w:val="000000"/>
          <w:sz w:val="28"/>
        </w:rPr>
        <w:t>PIANIFICAZIONE PROVVISORIA</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Pr>
                <w:b/>
                <w:color w:val="000000"/>
              </w:rPr>
              <w:t>MILESTONE CHIAVE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Pr>
                <w:b/>
                <w:color w:val="000000"/>
              </w:rPr>
              <w:t>INIZIO</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Pr>
                <w:b/>
                <w:color w:val="000000"/>
              </w:rPr>
              <w:t>FINE</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Pr>
                <w:color w:val="000000"/>
                <w:sz w:val="22"/>
              </w:rPr>
              <w:t>Formare team di progetto / revisione preliminare / definire l'ambito</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Pr>
                <w:color w:val="000000"/>
                <w:sz w:val="22"/>
              </w:rPr>
              <w:t>05/12/20XX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Pr>
                <w:color w:val="000000"/>
                <w:sz w:val="22"/>
              </w:rPr>
              <w:t>01/11/20XX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Pr>
                <w:color w:val="000000"/>
                <w:sz w:val="22"/>
              </w:rPr>
              <w:t>Finalizzare la pianificazione del progetto/project charter/kickoff</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Pr>
                <w:color w:val="000000"/>
                <w:sz w:val="22"/>
              </w:rPr>
              <w:t>06/12/20XX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Pr>
                <w:color w:val="000000"/>
                <w:sz w:val="22"/>
              </w:rPr>
              <w:t>02/01/20XX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Pr>
                <w:color w:val="000000"/>
                <w:sz w:val="22"/>
              </w:rPr>
              <w:t>Fase di definizione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Pr>
                <w:color w:val="000000"/>
                <w:sz w:val="22"/>
              </w:rPr>
              <w:t>07/12/20XX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Pr>
                <w:color w:val="000000"/>
                <w:sz w:val="22"/>
              </w:rPr>
              <w:t>02/02/20XX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Pr>
                <w:color w:val="000000"/>
                <w:sz w:val="22"/>
              </w:rPr>
              <w:t>Fase di misurazione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Pr>
                <w:color w:val="000000"/>
                <w:sz w:val="22"/>
              </w:rPr>
              <w:t>08/12/20XX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Pr>
                <w:color w:val="000000"/>
                <w:sz w:val="22"/>
              </w:rPr>
              <w:t>10/02/20XX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Pr>
                <w:color w:val="000000"/>
                <w:sz w:val="22"/>
              </w:rPr>
              <w:t>Fase di analisi</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Pr>
                <w:color w:val="000000"/>
                <w:sz w:val="22"/>
              </w:rPr>
              <w:t>09/12/20XX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Pr>
                <w:color w:val="000000"/>
                <w:sz w:val="22"/>
              </w:rPr>
              <w:t>26/02/20XX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Pr>
                <w:color w:val="000000"/>
                <w:sz w:val="22"/>
              </w:rPr>
              <w:t>Fase di miglioramento</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Pr>
                <w:color w:val="000000"/>
                <w:sz w:val="22"/>
              </w:rPr>
              <w:t>01/10/20XX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Pr>
                <w:color w:val="000000"/>
                <w:sz w:val="22"/>
              </w:rPr>
              <w:t>03/10/20XX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Pr>
                <w:color w:val="000000"/>
                <w:sz w:val="22"/>
              </w:rPr>
              <w:t>Fase di controllo</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Pr>
                <w:color w:val="000000"/>
                <w:sz w:val="22"/>
              </w:rPr>
              <w:t>02/08/20XX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Pr>
                <w:color w:val="000000"/>
                <w:sz w:val="22"/>
              </w:rPr>
              <w:t>03/08/20XX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Pr>
                <w:color w:val="000000"/>
                <w:sz w:val="22"/>
              </w:rPr>
              <w:t>Report di riepilogo del progetto e chiusura</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Pr>
                <w:color w:val="000000"/>
                <w:sz w:val="22"/>
              </w:rPr>
              <w:t>23/04/20XX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Pr>
                <w:color w:val="000000"/>
                <w:sz w:val="22"/>
              </w:rPr>
              <w:t>23/06/20XX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Pr>
          <w:color w:val="000000"/>
          <w:sz w:val="28"/>
        </w:rPr>
        <w:lastRenderedPageBreak/>
        <w:t>RISORSE</w:t>
      </w:r>
    </w:p>
    <w:tbl>
      <w:tblPr>
        <w:tblW w:w="14600" w:type="dxa"/>
        <w:tblInd w:w="-5" w:type="dxa"/>
        <w:tblLook w:val="04A0" w:firstRow="1" w:lastRow="0" w:firstColumn="1" w:lastColumn="0" w:noHBand="0" w:noVBand="1"/>
      </w:tblPr>
      <w:tblGrid>
        <w:gridCol w:w="1710"/>
        <w:gridCol w:w="7203"/>
        <w:gridCol w:w="5687"/>
      </w:tblGrid>
      <w:tr w:rsidR="00564375" w:rsidRPr="00DF2624" w14:paraId="19C5A349" w14:textId="77777777" w:rsidTr="0013049A">
        <w:trPr>
          <w:trHeight w:val="1008"/>
        </w:trPr>
        <w:tc>
          <w:tcPr>
            <w:tcW w:w="1710"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13049A">
            <w:pPr>
              <w:rPr>
                <w:rFonts w:cs="Calibri"/>
                <w:color w:val="000000"/>
                <w:sz w:val="24"/>
              </w:rPr>
            </w:pPr>
            <w:r>
              <w:rPr>
                <w:color w:val="000000"/>
                <w:sz w:val="24"/>
              </w:rPr>
              <w:t>TEAM DI PROGETTO</w:t>
            </w:r>
          </w:p>
        </w:tc>
        <w:tc>
          <w:tcPr>
            <w:tcW w:w="7203"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Pr>
                <w:color w:val="000000"/>
                <w:sz w:val="22"/>
              </w:rPr>
              <w:t xml:space="preserve">Janine Remagio - Project Manager </w:t>
            </w:r>
            <w:r w:rsidRPr="00DF2624">
              <w:rPr>
                <w:color w:val="000000"/>
                <w:sz w:val="22"/>
                <w:szCs w:val="22"/>
              </w:rPr>
              <w:br/>
            </w:r>
            <w:r>
              <w:rPr>
                <w:color w:val="000000"/>
                <w:sz w:val="22"/>
              </w:rPr>
              <w:t xml:space="preserve">David Coen - Chief Engineer </w:t>
            </w:r>
            <w:r w:rsidRPr="00DF2624">
              <w:rPr>
                <w:color w:val="000000"/>
                <w:sz w:val="22"/>
                <w:szCs w:val="22"/>
              </w:rPr>
              <w:br/>
            </w:r>
            <w:r>
              <w:rPr>
                <w:color w:val="000000"/>
                <w:sz w:val="22"/>
              </w:rPr>
              <w:t xml:space="preserve">Rita Preze - CFO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Pr>
                <w:color w:val="000000"/>
                <w:sz w:val="22"/>
              </w:rPr>
              <w:t xml:space="preserve">Lisa Jones - QA Director </w:t>
            </w:r>
            <w:r w:rsidRPr="00DF2624">
              <w:rPr>
                <w:color w:val="000000"/>
                <w:sz w:val="22"/>
                <w:szCs w:val="22"/>
              </w:rPr>
              <w:br/>
            </w:r>
            <w:r>
              <w:rPr>
                <w:color w:val="000000"/>
                <w:sz w:val="22"/>
              </w:rPr>
              <w:t>Donald Smythe - Field Engineer</w:t>
            </w:r>
          </w:p>
        </w:tc>
      </w:tr>
      <w:tr w:rsidR="00564375" w:rsidRPr="00DF2624" w14:paraId="42A540F2"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13049A">
            <w:pPr>
              <w:rPr>
                <w:rFonts w:cs="Calibri"/>
                <w:color w:val="000000"/>
                <w:sz w:val="24"/>
              </w:rPr>
            </w:pPr>
            <w:r>
              <w:rPr>
                <w:color w:val="000000"/>
                <w:sz w:val="24"/>
              </w:rPr>
              <w:t>RISORSE DI ASSISTENZA</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Pr>
                <w:color w:val="000000"/>
                <w:sz w:val="22"/>
              </w:rPr>
              <w:t xml:space="preserve">Operazioni, Vendite, Gestione dei progetti, Progettazione </w:t>
            </w:r>
          </w:p>
        </w:tc>
      </w:tr>
      <w:tr w:rsidR="00564375" w:rsidRPr="00DF2624" w14:paraId="6461CBA8"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13049A">
            <w:pPr>
              <w:rPr>
                <w:rFonts w:cs="Calibri"/>
                <w:color w:val="000000"/>
                <w:sz w:val="24"/>
              </w:rPr>
            </w:pPr>
            <w:r>
              <w:rPr>
                <w:color w:val="000000"/>
                <w:sz w:val="24"/>
              </w:rPr>
              <w:t>ESIGENZE SPECIALI</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Pr>
                <w:color w:val="000000"/>
                <w:sz w:val="22"/>
              </w:rPr>
              <w:t>DA DEFINIRE</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Pr>
          <w:color w:val="000000"/>
          <w:sz w:val="28"/>
        </w:rPr>
        <w:t>COSTI</w:t>
      </w:r>
    </w:p>
    <w:tbl>
      <w:tblPr>
        <w:tblW w:w="14600" w:type="dxa"/>
        <w:tblInd w:w="-5" w:type="dxa"/>
        <w:tblLook w:val="04A0" w:firstRow="1" w:lastRow="0" w:firstColumn="1" w:lastColumn="0" w:noHBand="0" w:noVBand="1"/>
      </w:tblPr>
      <w:tblGrid>
        <w:gridCol w:w="3227"/>
        <w:gridCol w:w="2856"/>
        <w:gridCol w:w="2281"/>
        <w:gridCol w:w="1918"/>
        <w:gridCol w:w="1158"/>
        <w:gridCol w:w="3160"/>
      </w:tblGrid>
      <w:tr w:rsidR="00DF2624" w:rsidRPr="00DF2624" w14:paraId="785458B9" w14:textId="77777777" w:rsidTr="00B14B4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Pr>
                <w:b/>
                <w:color w:val="000000"/>
              </w:rPr>
              <w:t>TIPO DI COSTO</w:t>
            </w:r>
          </w:p>
        </w:tc>
        <w:tc>
          <w:tcPr>
            <w:tcW w:w="5137"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Pr>
                <w:b/>
                <w:color w:val="000000"/>
              </w:rPr>
              <w:t>NOMI FORNITORI / MANODOPERA</w:t>
            </w:r>
          </w:p>
        </w:tc>
        <w:tc>
          <w:tcPr>
            <w:tcW w:w="1918"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Pr>
                <w:b/>
                <w:color w:val="000000"/>
              </w:rPr>
              <w:t>TARIFFA</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Pr>
                <w:b/>
                <w:color w:val="000000"/>
              </w:rPr>
              <w:t>Q.TÀ</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Pr>
                <w:b/>
                <w:color w:val="000000"/>
              </w:rPr>
              <w:t>IMPORTO</w:t>
            </w:r>
          </w:p>
        </w:tc>
      </w:tr>
      <w:tr w:rsidR="00DF2624" w:rsidRPr="00DF2624" w14:paraId="5241F88B" w14:textId="77777777" w:rsidTr="00B14B4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Pr>
                <w:b/>
                <w:color w:val="000000"/>
                <w:sz w:val="22"/>
              </w:rPr>
              <w:t>Manodopera</w:t>
            </w:r>
          </w:p>
        </w:tc>
        <w:tc>
          <w:tcPr>
            <w:tcW w:w="5137"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r>
              <w:rPr>
                <w:color w:val="000000"/>
                <w:sz w:val="22"/>
              </w:rPr>
              <w:t xml:space="preserve">Electro Charge Logistics, Inc. </w:t>
            </w:r>
          </w:p>
        </w:tc>
        <w:tc>
          <w:tcPr>
            <w:tcW w:w="1918"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Pr>
                <w:color w:val="000000"/>
                <w:sz w:val="22"/>
              </w:rPr>
              <w:t>78,00 €</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Pr>
                <w:color w:val="000000"/>
                <w:sz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0A295521" w:rsidR="00DF2624" w:rsidRPr="00DF2624" w:rsidRDefault="00DF2624" w:rsidP="00564375">
            <w:pPr>
              <w:jc w:val="center"/>
              <w:rPr>
                <w:rFonts w:cs="Calibri"/>
                <w:color w:val="000000"/>
                <w:sz w:val="22"/>
                <w:szCs w:val="22"/>
              </w:rPr>
            </w:pPr>
            <w:r>
              <w:rPr>
                <w:color w:val="000000"/>
                <w:sz w:val="22"/>
              </w:rPr>
              <w:t>15.600,00 €</w:t>
            </w:r>
          </w:p>
        </w:tc>
      </w:tr>
      <w:tr w:rsidR="00DF2624" w:rsidRPr="00DF2624" w14:paraId="557D0E9E" w14:textId="77777777" w:rsidTr="00B14B4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Pr>
                <w:b/>
                <w:color w:val="000000"/>
                <w:sz w:val="22"/>
              </w:rPr>
              <w:t>Manodopera</w:t>
            </w:r>
          </w:p>
        </w:tc>
        <w:tc>
          <w:tcPr>
            <w:tcW w:w="5137"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Pr>
                <w:color w:val="000000"/>
                <w:sz w:val="22"/>
              </w:rPr>
              <w:t>EVS di livello 1</w:t>
            </w:r>
          </w:p>
        </w:tc>
        <w:tc>
          <w:tcPr>
            <w:tcW w:w="1918"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Pr>
                <w:color w:val="000000"/>
                <w:sz w:val="22"/>
              </w:rPr>
              <w:t>46,00 €</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Pr>
                <w:color w:val="000000"/>
                <w:sz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76E1646B" w:rsidR="00DF2624" w:rsidRPr="00DF2624" w:rsidRDefault="00DF2624" w:rsidP="00564375">
            <w:pPr>
              <w:jc w:val="center"/>
              <w:rPr>
                <w:rFonts w:cs="Calibri"/>
                <w:color w:val="000000"/>
                <w:sz w:val="22"/>
                <w:szCs w:val="22"/>
              </w:rPr>
            </w:pPr>
            <w:r>
              <w:rPr>
                <w:color w:val="000000"/>
                <w:sz w:val="22"/>
              </w:rPr>
              <w:t>4.600,00 €</w:t>
            </w:r>
          </w:p>
        </w:tc>
      </w:tr>
      <w:tr w:rsidR="00DF2624" w:rsidRPr="00DF2624" w14:paraId="368C66E2" w14:textId="77777777" w:rsidTr="00B14B4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Pr>
                <w:b/>
                <w:color w:val="000000"/>
                <w:sz w:val="22"/>
              </w:rPr>
              <w:t>Manodopera</w:t>
            </w:r>
          </w:p>
        </w:tc>
        <w:tc>
          <w:tcPr>
            <w:tcW w:w="5137"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Pr>
                <w:color w:val="000000"/>
                <w:sz w:val="22"/>
              </w:rPr>
              <w:t>EVS di livello 2</w:t>
            </w:r>
          </w:p>
        </w:tc>
        <w:tc>
          <w:tcPr>
            <w:tcW w:w="1918"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Pr>
                <w:color w:val="000000"/>
                <w:sz w:val="22"/>
              </w:rPr>
              <w:t>58,00 €</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Pr>
                <w:color w:val="000000"/>
                <w:sz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FD65894" w:rsidR="00DF2624" w:rsidRPr="00DF2624" w:rsidRDefault="00DF2624" w:rsidP="00564375">
            <w:pPr>
              <w:jc w:val="center"/>
              <w:rPr>
                <w:rFonts w:cs="Calibri"/>
                <w:color w:val="000000"/>
                <w:sz w:val="22"/>
                <w:szCs w:val="22"/>
              </w:rPr>
            </w:pPr>
            <w:r>
              <w:rPr>
                <w:color w:val="000000"/>
                <w:sz w:val="22"/>
              </w:rPr>
              <w:t>2.900,00 €</w:t>
            </w:r>
          </w:p>
        </w:tc>
      </w:tr>
      <w:tr w:rsidR="00DF2624" w:rsidRPr="00DF2624" w14:paraId="79D5C08E" w14:textId="77777777" w:rsidTr="00B14B4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Pr>
                <w:b/>
                <w:color w:val="000000"/>
                <w:sz w:val="22"/>
              </w:rPr>
              <w:t>Manodopera</w:t>
            </w:r>
          </w:p>
        </w:tc>
        <w:tc>
          <w:tcPr>
            <w:tcW w:w="5137"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Pr>
                <w:color w:val="000000"/>
                <w:sz w:val="22"/>
              </w:rPr>
              <w:t>EVC Fast Chargers</w:t>
            </w:r>
          </w:p>
        </w:tc>
        <w:tc>
          <w:tcPr>
            <w:tcW w:w="1918" w:type="dxa"/>
            <w:tcBorders>
              <w:top w:val="nil"/>
              <w:left w:val="nil"/>
              <w:bottom w:val="single" w:sz="4" w:space="0" w:color="BFBFBF"/>
              <w:right w:val="single" w:sz="4" w:space="0" w:color="BFBFBF"/>
            </w:tcBorders>
            <w:shd w:val="clear" w:color="F9F9F9" w:fill="F9F9F9"/>
            <w:vAlign w:val="center"/>
            <w:hideMark/>
          </w:tcPr>
          <w:p w14:paraId="6442A8D1" w14:textId="77777777" w:rsidR="00DF2624" w:rsidRPr="00DF2624" w:rsidRDefault="00DF2624" w:rsidP="00DF2624">
            <w:pPr>
              <w:jc w:val="center"/>
              <w:rPr>
                <w:rFonts w:cs="Calibri"/>
                <w:color w:val="000000"/>
                <w:sz w:val="22"/>
                <w:szCs w:val="22"/>
              </w:rPr>
            </w:pPr>
            <w:r>
              <w:rPr>
                <w:color w:val="000000"/>
                <w:sz w:val="22"/>
              </w:rPr>
              <w:t>85.000,00 €</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Pr>
                <w:color w:val="000000"/>
                <w:sz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2F89B639" w:rsidR="00DF2624" w:rsidRPr="00DF2624" w:rsidRDefault="00DF2624" w:rsidP="00564375">
            <w:pPr>
              <w:jc w:val="center"/>
              <w:rPr>
                <w:rFonts w:cs="Calibri"/>
                <w:color w:val="000000"/>
                <w:sz w:val="22"/>
                <w:szCs w:val="22"/>
              </w:rPr>
            </w:pPr>
            <w:r>
              <w:rPr>
                <w:color w:val="000000"/>
                <w:sz w:val="22"/>
              </w:rPr>
              <w:t>85.000,00 €</w:t>
            </w:r>
          </w:p>
        </w:tc>
      </w:tr>
      <w:tr w:rsidR="00DF2624" w:rsidRPr="00DF2624" w14:paraId="71B0EF13" w14:textId="77777777" w:rsidTr="00B14B4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Pr>
                <w:b/>
                <w:color w:val="000000"/>
                <w:sz w:val="22"/>
              </w:rPr>
              <w:t>Manodopera</w:t>
            </w:r>
          </w:p>
        </w:tc>
        <w:tc>
          <w:tcPr>
            <w:tcW w:w="5137"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Pr>
                <w:color w:val="000000"/>
                <w:sz w:val="22"/>
              </w:rPr>
              <w:t>Fornitore delle batterie</w:t>
            </w:r>
          </w:p>
        </w:tc>
        <w:tc>
          <w:tcPr>
            <w:tcW w:w="1918" w:type="dxa"/>
            <w:tcBorders>
              <w:top w:val="nil"/>
              <w:left w:val="nil"/>
              <w:bottom w:val="single" w:sz="4" w:space="0" w:color="BFBFBF"/>
              <w:right w:val="single" w:sz="4" w:space="0" w:color="BFBFBF"/>
            </w:tcBorders>
            <w:shd w:val="clear" w:color="F9F9F9" w:fill="F9F9F9"/>
            <w:vAlign w:val="center"/>
            <w:hideMark/>
          </w:tcPr>
          <w:p w14:paraId="3D2CBBF3" w14:textId="77777777" w:rsidR="00DF2624" w:rsidRPr="00DF2624" w:rsidRDefault="00DF2624" w:rsidP="00DF2624">
            <w:pPr>
              <w:jc w:val="center"/>
              <w:rPr>
                <w:rFonts w:cs="Calibri"/>
                <w:color w:val="000000"/>
                <w:sz w:val="22"/>
                <w:szCs w:val="22"/>
              </w:rPr>
            </w:pPr>
            <w:r>
              <w:rPr>
                <w:color w:val="000000"/>
                <w:sz w:val="22"/>
              </w:rPr>
              <w:t>79.879,00 €</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Pr>
                <w:color w:val="000000"/>
                <w:sz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6742C645" w:rsidR="00DF2624" w:rsidRPr="00DF2624" w:rsidRDefault="00DF2624" w:rsidP="00564375">
            <w:pPr>
              <w:jc w:val="center"/>
              <w:rPr>
                <w:rFonts w:cs="Calibri"/>
                <w:color w:val="000000"/>
                <w:sz w:val="22"/>
                <w:szCs w:val="22"/>
              </w:rPr>
            </w:pPr>
            <w:r>
              <w:rPr>
                <w:color w:val="000000"/>
                <w:sz w:val="22"/>
              </w:rPr>
              <w:t>239.637,00 €</w:t>
            </w:r>
          </w:p>
        </w:tc>
      </w:tr>
      <w:tr w:rsidR="00DF2624" w:rsidRPr="00DF2624" w14:paraId="32C200D8" w14:textId="77777777" w:rsidTr="00B14B4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Pr>
                <w:b/>
                <w:color w:val="000000"/>
                <w:sz w:val="22"/>
              </w:rPr>
              <w:t>Forniture</w:t>
            </w:r>
          </w:p>
        </w:tc>
        <w:tc>
          <w:tcPr>
            <w:tcW w:w="5137"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Pr>
                <w:color w:val="000000"/>
                <w:sz w:val="22"/>
              </w:rPr>
              <w:t>Fornitore di sistemi di conversione di potenza</w:t>
            </w:r>
          </w:p>
        </w:tc>
        <w:tc>
          <w:tcPr>
            <w:tcW w:w="1918" w:type="dxa"/>
            <w:tcBorders>
              <w:top w:val="nil"/>
              <w:left w:val="nil"/>
              <w:bottom w:val="single" w:sz="4" w:space="0" w:color="BFBFBF"/>
              <w:right w:val="single" w:sz="4" w:space="0" w:color="BFBFBF"/>
            </w:tcBorders>
            <w:shd w:val="clear" w:color="F9F9F9" w:fill="F9F9F9"/>
            <w:vAlign w:val="center"/>
            <w:hideMark/>
          </w:tcPr>
          <w:p w14:paraId="1B9E500C" w14:textId="77777777" w:rsidR="00DF2624" w:rsidRPr="00DF2624" w:rsidRDefault="00DF2624" w:rsidP="00DF2624">
            <w:pPr>
              <w:jc w:val="center"/>
              <w:rPr>
                <w:rFonts w:cs="Calibri"/>
                <w:color w:val="000000"/>
                <w:sz w:val="22"/>
                <w:szCs w:val="22"/>
              </w:rPr>
            </w:pPr>
            <w:r>
              <w:rPr>
                <w:color w:val="000000"/>
                <w:sz w:val="22"/>
              </w:rPr>
              <w:t>68.686,00 €</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Pr>
                <w:color w:val="000000"/>
                <w:sz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01C9C8BF" w:rsidR="00DF2624" w:rsidRPr="00DF2624" w:rsidRDefault="00DF2624" w:rsidP="00564375">
            <w:pPr>
              <w:jc w:val="center"/>
              <w:rPr>
                <w:rFonts w:cs="Calibri"/>
                <w:color w:val="000000"/>
                <w:sz w:val="22"/>
                <w:szCs w:val="22"/>
              </w:rPr>
            </w:pPr>
            <w:r>
              <w:rPr>
                <w:color w:val="000000"/>
                <w:sz w:val="22"/>
              </w:rPr>
              <w:t>68.686,00 €</w:t>
            </w:r>
          </w:p>
        </w:tc>
      </w:tr>
      <w:tr w:rsidR="00DF2624" w:rsidRPr="00DF2624" w14:paraId="4DD4D279" w14:textId="77777777" w:rsidTr="00B14B4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Pr>
                <w:b/>
                <w:color w:val="000000"/>
                <w:sz w:val="22"/>
              </w:rPr>
              <w:t>Varie</w:t>
            </w:r>
          </w:p>
        </w:tc>
        <w:tc>
          <w:tcPr>
            <w:tcW w:w="5137"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Pr>
                <w:color w:val="000000"/>
                <w:sz w:val="22"/>
              </w:rPr>
              <w:t>Software di terze parti</w:t>
            </w:r>
          </w:p>
        </w:tc>
        <w:tc>
          <w:tcPr>
            <w:tcW w:w="1918" w:type="dxa"/>
            <w:tcBorders>
              <w:top w:val="nil"/>
              <w:left w:val="nil"/>
              <w:bottom w:val="single" w:sz="8" w:space="0" w:color="BFBFBF"/>
              <w:right w:val="single" w:sz="4" w:space="0" w:color="BFBFBF"/>
            </w:tcBorders>
            <w:shd w:val="clear" w:color="F9F9F9" w:fill="F9F9F9"/>
            <w:vAlign w:val="center"/>
            <w:hideMark/>
          </w:tcPr>
          <w:p w14:paraId="4AE40B87" w14:textId="77777777" w:rsidR="00DF2624" w:rsidRPr="00DF2624" w:rsidRDefault="00DF2624" w:rsidP="00DF2624">
            <w:pPr>
              <w:jc w:val="center"/>
              <w:rPr>
                <w:rFonts w:cs="Calibri"/>
                <w:color w:val="000000"/>
                <w:sz w:val="22"/>
                <w:szCs w:val="22"/>
              </w:rPr>
            </w:pPr>
            <w:r>
              <w:rPr>
                <w:color w:val="000000"/>
                <w:sz w:val="22"/>
              </w:rPr>
              <w:t>68.768,00 €</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Pr>
                <w:color w:val="000000"/>
                <w:sz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11056777" w:rsidR="00DF2624" w:rsidRPr="00DF2624" w:rsidRDefault="00DF2624" w:rsidP="00564375">
            <w:pPr>
              <w:jc w:val="center"/>
              <w:rPr>
                <w:rFonts w:cs="Calibri"/>
                <w:color w:val="000000"/>
                <w:sz w:val="22"/>
                <w:szCs w:val="22"/>
              </w:rPr>
            </w:pPr>
            <w:r>
              <w:rPr>
                <w:color w:val="000000"/>
                <w:sz w:val="22"/>
              </w:rPr>
              <w:t>€</w:t>
            </w:r>
            <w:r w:rsidR="00F34FFC">
              <w:rPr>
                <w:rFonts w:hint="eastAsia"/>
                <w:color w:val="000000"/>
                <w:sz w:val="22"/>
                <w:lang w:eastAsia="zh-CN"/>
              </w:rPr>
              <w:t xml:space="preserve"> </w:t>
            </w:r>
            <w:r w:rsidR="00F34FFC">
              <w:rPr>
                <w:color w:val="000000"/>
                <w:sz w:val="22"/>
              </w:rPr>
              <w:t>-</w:t>
            </w:r>
          </w:p>
        </w:tc>
      </w:tr>
      <w:tr w:rsidR="00DF2624" w:rsidRPr="00DF2624" w14:paraId="757A2045" w14:textId="77777777" w:rsidTr="00B14B4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Pr>
                <w:color w:val="000000"/>
              </w:rPr>
              <w:t> </w:t>
            </w:r>
          </w:p>
        </w:tc>
        <w:tc>
          <w:tcPr>
            <w:tcW w:w="2281"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Pr>
                <w:color w:val="000000"/>
              </w:rPr>
              <w:t> </w:t>
            </w:r>
          </w:p>
        </w:tc>
        <w:tc>
          <w:tcPr>
            <w:tcW w:w="3076"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Pr>
                <w:color w:val="000000"/>
              </w:rPr>
              <w:t>COSTI TOTALI</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5575E908" w:rsidR="00DF2624" w:rsidRPr="00DF2624" w:rsidRDefault="00DF2624" w:rsidP="00564375">
            <w:pPr>
              <w:jc w:val="center"/>
              <w:rPr>
                <w:rFonts w:cs="Calibri"/>
                <w:color w:val="000000"/>
                <w:sz w:val="22"/>
                <w:szCs w:val="22"/>
              </w:rPr>
            </w:pPr>
            <w:r>
              <w:rPr>
                <w:color w:val="000000"/>
                <w:sz w:val="22"/>
              </w:rPr>
              <w:t>416.423,00 €</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Pr>
          <w:color w:val="000000"/>
          <w:sz w:val="28"/>
        </w:rPr>
        <w:lastRenderedPageBreak/>
        <w:t>BENEFICI E CLIENTI</w:t>
      </w:r>
    </w:p>
    <w:tbl>
      <w:tblPr>
        <w:tblW w:w="14600" w:type="dxa"/>
        <w:tblInd w:w="-5" w:type="dxa"/>
        <w:tblLook w:val="04A0" w:firstRow="1" w:lastRow="0" w:firstColumn="1" w:lastColumn="0" w:noHBand="0" w:noVBand="1"/>
      </w:tblPr>
      <w:tblGrid>
        <w:gridCol w:w="1980"/>
        <w:gridCol w:w="1564"/>
        <w:gridCol w:w="2539"/>
        <w:gridCol w:w="2100"/>
        <w:gridCol w:w="2099"/>
        <w:gridCol w:w="775"/>
        <w:gridCol w:w="3543"/>
      </w:tblGrid>
      <w:tr w:rsidR="00564375" w:rsidRPr="00DF2624" w14:paraId="25C8481F"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Pr>
                <w:color w:val="000000"/>
                <w:sz w:val="24"/>
              </w:rPr>
              <w:t>PROPRIETARIO DEL PROCESSO</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Pr>
                <w:color w:val="000000"/>
                <w:sz w:val="22"/>
              </w:rPr>
              <w:t xml:space="preserve">Jane Matthews - Project Manager </w:t>
            </w:r>
          </w:p>
        </w:tc>
      </w:tr>
      <w:tr w:rsidR="00564375" w:rsidRPr="00DF2624" w14:paraId="06833A72"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Pr>
                <w:color w:val="000000"/>
                <w:sz w:val="24"/>
              </w:rPr>
              <w:t>STAKEHOLDER PRINCIPALI</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Pr>
                <w:color w:val="000000"/>
                <w:sz w:val="22"/>
              </w:rPr>
              <w:t>Jill DeGrassio</w:t>
            </w:r>
          </w:p>
        </w:tc>
      </w:tr>
      <w:tr w:rsidR="00564375" w:rsidRPr="00DF2624" w14:paraId="5772D1B4"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Pr>
                <w:color w:val="000000"/>
                <w:sz w:val="24"/>
              </w:rPr>
              <w:t>CLIENTE FINALE</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Pr>
                <w:color w:val="000000"/>
                <w:sz w:val="22"/>
              </w:rPr>
              <w:t xml:space="preserve">116 clienti tra Stati Uniti, Messico e Canada (vedere elenco dei clienti allegato). </w:t>
            </w:r>
          </w:p>
        </w:tc>
      </w:tr>
      <w:tr w:rsidR="00564375" w:rsidRPr="00DF2624" w14:paraId="6860FFBC" w14:textId="77777777" w:rsidTr="0013049A">
        <w:trPr>
          <w:trHeight w:val="144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Pr>
                <w:color w:val="000000"/>
                <w:sz w:val="24"/>
              </w:rPr>
              <w:t>BENEFICI PREVISTI</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Pr>
                <w:color w:val="000000"/>
                <w:sz w:val="22"/>
              </w:rPr>
              <w:t xml:space="preserve">L'implementazione delle 1125 stazioni di ricarica per EV in 116 sedi tra Stati Uniti, Messico e Canada per ospitare il “traffico” di ricarica per EV dei centri commerciali e delle stazioni di servizio ridurrà le distanze che i conducenti di veicoli elettrici devono percorrere per raggiungere la stazione di ricarica successiva. L'implementazione delle stazioni di ricarica per EV comporterà anche un profitto del 24% per Positive Charge. </w:t>
            </w:r>
          </w:p>
        </w:tc>
      </w:tr>
      <w:tr w:rsidR="00564375" w:rsidRPr="00DF2624" w14:paraId="0C0735DD" w14:textId="77777777" w:rsidTr="00B14B45">
        <w:trPr>
          <w:trHeight w:val="239"/>
        </w:trPr>
        <w:tc>
          <w:tcPr>
            <w:tcW w:w="3544" w:type="dxa"/>
            <w:gridSpan w:val="2"/>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Pr>
                <w:color w:val="000000"/>
              </w:rPr>
              <w:t> </w:t>
            </w:r>
          </w:p>
        </w:tc>
        <w:tc>
          <w:tcPr>
            <w:tcW w:w="2539"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Pr>
                <w:color w:val="000000"/>
              </w:rPr>
              <w:t> </w:t>
            </w:r>
          </w:p>
        </w:tc>
        <w:tc>
          <w:tcPr>
            <w:tcW w:w="775"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Pr>
                <w:color w:val="000000"/>
              </w:rPr>
              <w:t> </w:t>
            </w:r>
          </w:p>
        </w:tc>
        <w:tc>
          <w:tcPr>
            <w:tcW w:w="3543"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Pr>
                <w:color w:val="000000"/>
              </w:rPr>
              <w:t> </w:t>
            </w:r>
          </w:p>
        </w:tc>
      </w:tr>
      <w:tr w:rsidR="00564375" w:rsidRPr="00DF2624" w14:paraId="435DED56" w14:textId="77777777" w:rsidTr="00B14B45">
        <w:trPr>
          <w:trHeight w:val="494"/>
        </w:trPr>
        <w:tc>
          <w:tcPr>
            <w:tcW w:w="3544" w:type="dxa"/>
            <w:gridSpan w:val="2"/>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0"/>
              <w:rPr>
                <w:rFonts w:cs="Calibri"/>
                <w:b/>
                <w:bCs/>
                <w:color w:val="000000"/>
                <w:szCs w:val="20"/>
              </w:rPr>
            </w:pPr>
            <w:r>
              <w:rPr>
                <w:b/>
                <w:color w:val="000000"/>
              </w:rPr>
              <w:t>TIPO DI BENEFICIO</w:t>
            </w:r>
          </w:p>
        </w:tc>
        <w:tc>
          <w:tcPr>
            <w:tcW w:w="75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Pr>
                <w:b/>
                <w:color w:val="000000"/>
              </w:rPr>
              <w:t>BASE DI STIMA</w:t>
            </w:r>
          </w:p>
        </w:tc>
        <w:tc>
          <w:tcPr>
            <w:tcW w:w="3543"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Pr>
                <w:b/>
                <w:color w:val="000000"/>
              </w:rPr>
              <w:t>IMPORTO STIMATO DEL BENEFICIO</w:t>
            </w:r>
          </w:p>
        </w:tc>
      </w:tr>
      <w:tr w:rsidR="00564375" w:rsidRPr="00DF2624" w14:paraId="601E0503" w14:textId="77777777" w:rsidTr="00B14B45">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Pr>
                <w:b/>
                <w:color w:val="000000"/>
                <w:sz w:val="22"/>
              </w:rPr>
              <w:t>Risparmi specifici sui costi</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Pr>
                <w:color w:val="000000"/>
                <w:sz w:val="22"/>
              </w:rPr>
              <w:t xml:space="preserve">Proiezioni dello stimatore </w:t>
            </w:r>
          </w:p>
        </w:tc>
        <w:tc>
          <w:tcPr>
            <w:tcW w:w="3543" w:type="dxa"/>
            <w:tcBorders>
              <w:top w:val="nil"/>
              <w:left w:val="nil"/>
              <w:bottom w:val="single" w:sz="4" w:space="0" w:color="BFBFBF"/>
              <w:right w:val="single" w:sz="4" w:space="0" w:color="BFBFBF"/>
            </w:tcBorders>
            <w:shd w:val="clear" w:color="F9F9F9" w:fill="F9F9F9"/>
            <w:noWrap/>
            <w:vAlign w:val="center"/>
            <w:hideMark/>
          </w:tcPr>
          <w:p w14:paraId="08F5FE00" w14:textId="77777777" w:rsidR="00564375" w:rsidRPr="00DF2624" w:rsidRDefault="00564375" w:rsidP="00564375">
            <w:pPr>
              <w:ind w:right="272"/>
              <w:jc w:val="right"/>
              <w:rPr>
                <w:rFonts w:cs="Calibri"/>
                <w:color w:val="000000"/>
                <w:sz w:val="22"/>
                <w:szCs w:val="22"/>
              </w:rPr>
            </w:pPr>
            <w:r>
              <w:rPr>
                <w:color w:val="000000"/>
                <w:sz w:val="22"/>
              </w:rPr>
              <w:t xml:space="preserve"> 25.000,00 € </w:t>
            </w:r>
          </w:p>
        </w:tc>
      </w:tr>
      <w:tr w:rsidR="00564375" w:rsidRPr="00DF2624" w14:paraId="01318000" w14:textId="77777777" w:rsidTr="00B14B45">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Pr>
                <w:b/>
                <w:color w:val="000000"/>
                <w:sz w:val="22"/>
              </w:rPr>
              <w:t>Maggiori ricavi</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Pr>
                <w:color w:val="000000"/>
                <w:sz w:val="22"/>
              </w:rPr>
              <w:t>Proiezioni finanziarie</w:t>
            </w:r>
          </w:p>
        </w:tc>
        <w:tc>
          <w:tcPr>
            <w:tcW w:w="3543" w:type="dxa"/>
            <w:tcBorders>
              <w:top w:val="nil"/>
              <w:left w:val="nil"/>
              <w:bottom w:val="single" w:sz="4" w:space="0" w:color="BFBFBF"/>
              <w:right w:val="single" w:sz="4" w:space="0" w:color="BFBFBF"/>
            </w:tcBorders>
            <w:shd w:val="clear" w:color="F9F9F9" w:fill="F9F9F9"/>
            <w:noWrap/>
            <w:vAlign w:val="center"/>
            <w:hideMark/>
          </w:tcPr>
          <w:p w14:paraId="7520AA48" w14:textId="77777777" w:rsidR="00564375" w:rsidRPr="00DF2624" w:rsidRDefault="00564375" w:rsidP="00564375">
            <w:pPr>
              <w:ind w:right="272"/>
              <w:jc w:val="right"/>
              <w:rPr>
                <w:rFonts w:cs="Calibri"/>
                <w:color w:val="000000"/>
                <w:sz w:val="22"/>
                <w:szCs w:val="22"/>
              </w:rPr>
            </w:pPr>
            <w:r>
              <w:rPr>
                <w:color w:val="000000"/>
                <w:sz w:val="22"/>
              </w:rPr>
              <w:t xml:space="preserve"> 92.500,00 € </w:t>
            </w:r>
          </w:p>
        </w:tc>
      </w:tr>
      <w:tr w:rsidR="00564375" w:rsidRPr="00DF2624" w14:paraId="2566868B" w14:textId="77777777" w:rsidTr="00B14B45">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Pr>
                <w:b/>
                <w:color w:val="000000"/>
                <w:sz w:val="22"/>
              </w:rPr>
              <w:t>Maggiore produttività (Soft)</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Pr>
                <w:color w:val="000000"/>
                <w:sz w:val="22"/>
              </w:rPr>
              <w:t xml:space="preserve">Stime del project management </w:t>
            </w:r>
          </w:p>
        </w:tc>
        <w:tc>
          <w:tcPr>
            <w:tcW w:w="3543" w:type="dxa"/>
            <w:tcBorders>
              <w:top w:val="nil"/>
              <w:left w:val="nil"/>
              <w:bottom w:val="single" w:sz="4" w:space="0" w:color="BFBFBF"/>
              <w:right w:val="single" w:sz="4" w:space="0" w:color="BFBFBF"/>
            </w:tcBorders>
            <w:shd w:val="clear" w:color="F9F9F9" w:fill="F9F9F9"/>
            <w:noWrap/>
            <w:vAlign w:val="center"/>
            <w:hideMark/>
          </w:tcPr>
          <w:p w14:paraId="4DFE072F" w14:textId="77777777" w:rsidR="00564375" w:rsidRPr="00DF2624" w:rsidRDefault="00564375" w:rsidP="00564375">
            <w:pPr>
              <w:ind w:right="272"/>
              <w:jc w:val="right"/>
              <w:rPr>
                <w:rFonts w:cs="Calibri"/>
                <w:color w:val="000000"/>
                <w:sz w:val="22"/>
                <w:szCs w:val="22"/>
              </w:rPr>
            </w:pPr>
            <w:r>
              <w:rPr>
                <w:color w:val="000000"/>
                <w:sz w:val="22"/>
              </w:rPr>
              <w:t xml:space="preserve"> 17.500,00 € </w:t>
            </w:r>
          </w:p>
        </w:tc>
      </w:tr>
      <w:tr w:rsidR="00564375" w:rsidRPr="00DF2624" w14:paraId="13FAE454" w14:textId="77777777" w:rsidTr="00B14B45">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Pr>
                <w:b/>
                <w:color w:val="000000"/>
                <w:sz w:val="22"/>
              </w:rPr>
              <w:t>Conformità migliorata</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Pr>
                <w:color w:val="000000"/>
                <w:sz w:val="22"/>
              </w:rPr>
              <w:t xml:space="preserve">Stime delle Operazioni </w:t>
            </w:r>
          </w:p>
        </w:tc>
        <w:tc>
          <w:tcPr>
            <w:tcW w:w="3543" w:type="dxa"/>
            <w:tcBorders>
              <w:top w:val="nil"/>
              <w:left w:val="nil"/>
              <w:bottom w:val="single" w:sz="4" w:space="0" w:color="BFBFBF"/>
              <w:right w:val="single" w:sz="4" w:space="0" w:color="BFBFBF"/>
            </w:tcBorders>
            <w:shd w:val="clear" w:color="F9F9F9" w:fill="F9F9F9"/>
            <w:noWrap/>
            <w:vAlign w:val="center"/>
            <w:hideMark/>
          </w:tcPr>
          <w:p w14:paraId="3280D868" w14:textId="77777777" w:rsidR="00564375" w:rsidRPr="00DF2624" w:rsidRDefault="00564375" w:rsidP="00564375">
            <w:pPr>
              <w:ind w:right="272"/>
              <w:jc w:val="right"/>
              <w:rPr>
                <w:rFonts w:cs="Calibri"/>
                <w:color w:val="000000"/>
                <w:sz w:val="22"/>
                <w:szCs w:val="22"/>
              </w:rPr>
            </w:pPr>
            <w:r>
              <w:rPr>
                <w:color w:val="000000"/>
                <w:sz w:val="22"/>
              </w:rPr>
              <w:t xml:space="preserve"> 12.000,00 € </w:t>
            </w:r>
          </w:p>
        </w:tc>
      </w:tr>
      <w:tr w:rsidR="00564375" w:rsidRPr="00DF2624" w14:paraId="6B175C45" w14:textId="77777777" w:rsidTr="00B14B45">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Pr>
                <w:b/>
                <w:color w:val="000000"/>
                <w:sz w:val="22"/>
              </w:rPr>
              <w:t>Processo decisionale migliore</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Pr>
                <w:color w:val="000000"/>
                <w:sz w:val="22"/>
              </w:rPr>
              <w:t xml:space="preserve">Stime del project management </w:t>
            </w:r>
          </w:p>
        </w:tc>
        <w:tc>
          <w:tcPr>
            <w:tcW w:w="3543" w:type="dxa"/>
            <w:tcBorders>
              <w:top w:val="nil"/>
              <w:left w:val="nil"/>
              <w:bottom w:val="single" w:sz="4" w:space="0" w:color="BFBFBF"/>
              <w:right w:val="single" w:sz="4" w:space="0" w:color="BFBFBF"/>
            </w:tcBorders>
            <w:shd w:val="clear" w:color="F9F9F9" w:fill="F9F9F9"/>
            <w:noWrap/>
            <w:vAlign w:val="center"/>
            <w:hideMark/>
          </w:tcPr>
          <w:p w14:paraId="09F730CA" w14:textId="77777777" w:rsidR="00564375" w:rsidRPr="00DF2624" w:rsidRDefault="00564375" w:rsidP="00564375">
            <w:pPr>
              <w:ind w:right="272"/>
              <w:jc w:val="right"/>
              <w:rPr>
                <w:rFonts w:cs="Calibri"/>
                <w:color w:val="000000"/>
                <w:sz w:val="22"/>
                <w:szCs w:val="22"/>
              </w:rPr>
            </w:pPr>
            <w:r>
              <w:rPr>
                <w:color w:val="000000"/>
                <w:sz w:val="22"/>
              </w:rPr>
              <w:t xml:space="preserve"> 18.500,00 € </w:t>
            </w:r>
          </w:p>
        </w:tc>
      </w:tr>
      <w:tr w:rsidR="00564375" w:rsidRPr="00DF2624" w14:paraId="2623CBF8" w14:textId="77777777" w:rsidTr="00B14B45">
        <w:trPr>
          <w:trHeight w:val="689"/>
        </w:trPr>
        <w:tc>
          <w:tcPr>
            <w:tcW w:w="3544"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Pr>
                <w:b/>
                <w:color w:val="000000"/>
                <w:sz w:val="22"/>
              </w:rPr>
              <w:t>Manutenzione ridotta</w:t>
            </w:r>
          </w:p>
        </w:tc>
        <w:tc>
          <w:tcPr>
            <w:tcW w:w="75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Pr>
                <w:color w:val="000000"/>
                <w:sz w:val="22"/>
              </w:rPr>
              <w:t xml:space="preserve">Stime del project management </w:t>
            </w:r>
          </w:p>
        </w:tc>
        <w:tc>
          <w:tcPr>
            <w:tcW w:w="3543" w:type="dxa"/>
            <w:tcBorders>
              <w:top w:val="nil"/>
              <w:left w:val="nil"/>
              <w:bottom w:val="single" w:sz="4" w:space="0" w:color="BFBFBF"/>
              <w:right w:val="single" w:sz="4" w:space="0" w:color="BFBFBF"/>
            </w:tcBorders>
            <w:shd w:val="clear" w:color="F9F9F9" w:fill="F9F9F9"/>
            <w:noWrap/>
            <w:vAlign w:val="center"/>
            <w:hideMark/>
          </w:tcPr>
          <w:p w14:paraId="4AD345A6" w14:textId="77777777" w:rsidR="00564375" w:rsidRPr="00DF2624" w:rsidRDefault="00564375" w:rsidP="00564375">
            <w:pPr>
              <w:ind w:right="272"/>
              <w:jc w:val="right"/>
              <w:rPr>
                <w:rFonts w:cs="Calibri"/>
                <w:color w:val="000000"/>
                <w:sz w:val="22"/>
                <w:szCs w:val="22"/>
              </w:rPr>
            </w:pPr>
            <w:r>
              <w:rPr>
                <w:color w:val="000000"/>
                <w:sz w:val="22"/>
              </w:rPr>
              <w:t xml:space="preserve"> 26.000,00 € </w:t>
            </w:r>
          </w:p>
        </w:tc>
      </w:tr>
      <w:tr w:rsidR="00564375" w:rsidRPr="00DF2624" w14:paraId="62524BF6" w14:textId="77777777" w:rsidTr="00B14B45">
        <w:trPr>
          <w:trHeight w:val="689"/>
        </w:trPr>
        <w:tc>
          <w:tcPr>
            <w:tcW w:w="3544" w:type="dxa"/>
            <w:gridSpan w:val="2"/>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Pr>
                <w:b/>
                <w:color w:val="000000"/>
                <w:sz w:val="22"/>
              </w:rPr>
              <w:t>Altri costi evitati</w:t>
            </w:r>
          </w:p>
        </w:tc>
        <w:tc>
          <w:tcPr>
            <w:tcW w:w="75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Pr>
                <w:color w:val="000000"/>
                <w:sz w:val="22"/>
              </w:rPr>
              <w:t>Proiezioni finanziarie</w:t>
            </w:r>
          </w:p>
        </w:tc>
        <w:tc>
          <w:tcPr>
            <w:tcW w:w="3543" w:type="dxa"/>
            <w:tcBorders>
              <w:top w:val="nil"/>
              <w:left w:val="nil"/>
              <w:bottom w:val="single" w:sz="8" w:space="0" w:color="BFBFBF"/>
              <w:right w:val="single" w:sz="4" w:space="0" w:color="BFBFBF"/>
            </w:tcBorders>
            <w:shd w:val="clear" w:color="F9F9F9" w:fill="F9F9F9"/>
            <w:noWrap/>
            <w:vAlign w:val="center"/>
            <w:hideMark/>
          </w:tcPr>
          <w:p w14:paraId="5B5B8D8D" w14:textId="3F1A3B9B" w:rsidR="00564375" w:rsidRPr="00DF2624" w:rsidRDefault="00564375" w:rsidP="00564375">
            <w:pPr>
              <w:ind w:right="272"/>
              <w:jc w:val="right"/>
              <w:rPr>
                <w:rFonts w:cs="Calibri"/>
                <w:color w:val="000000"/>
                <w:sz w:val="22"/>
                <w:szCs w:val="22"/>
              </w:rPr>
            </w:pPr>
            <w:r>
              <w:rPr>
                <w:color w:val="000000"/>
                <w:sz w:val="22"/>
              </w:rPr>
              <w:t xml:space="preserve"> 46.250,00 </w:t>
            </w:r>
            <w:r w:rsidR="000F2851">
              <w:rPr>
                <w:color w:val="000000"/>
                <w:sz w:val="22"/>
              </w:rPr>
              <w:t>€</w:t>
            </w:r>
            <w:r>
              <w:rPr>
                <w:color w:val="000000"/>
                <w:sz w:val="22"/>
              </w:rPr>
              <w:t xml:space="preserve"> </w:t>
            </w:r>
          </w:p>
        </w:tc>
      </w:tr>
      <w:tr w:rsidR="00564375" w:rsidRPr="00DF2624" w14:paraId="3B528F15" w14:textId="77777777" w:rsidTr="00B14B45">
        <w:trPr>
          <w:trHeight w:val="689"/>
        </w:trPr>
        <w:tc>
          <w:tcPr>
            <w:tcW w:w="3544" w:type="dxa"/>
            <w:gridSpan w:val="2"/>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Pr>
                <w:color w:val="000000"/>
              </w:rPr>
              <w:t> </w:t>
            </w:r>
          </w:p>
        </w:tc>
        <w:tc>
          <w:tcPr>
            <w:tcW w:w="2539"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Pr>
                <w:color w:val="000000"/>
              </w:rPr>
              <w:t> </w:t>
            </w:r>
          </w:p>
        </w:tc>
        <w:tc>
          <w:tcPr>
            <w:tcW w:w="2874"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Pr>
                <w:color w:val="000000"/>
              </w:rPr>
              <w:t>BENEFICIO TOTALE</w:t>
            </w:r>
          </w:p>
        </w:tc>
        <w:tc>
          <w:tcPr>
            <w:tcW w:w="3543"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77777777" w:rsidR="00564375" w:rsidRPr="00DF2624" w:rsidRDefault="00564375" w:rsidP="00564375">
            <w:pPr>
              <w:ind w:right="272"/>
              <w:jc w:val="right"/>
              <w:rPr>
                <w:rFonts w:cs="Calibri"/>
                <w:color w:val="000000"/>
                <w:sz w:val="22"/>
                <w:szCs w:val="22"/>
              </w:rPr>
            </w:pPr>
            <w:r>
              <w:rPr>
                <w:color w:val="000000"/>
                <w:sz w:val="22"/>
              </w:rPr>
              <w:t xml:space="preserve"> 237.750,00 €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Pr>
          <w:color w:val="000000"/>
          <w:sz w:val="28"/>
        </w:rPr>
        <w:lastRenderedPageBreak/>
        <w:t>RISCHI, VINCOLI E IPOTESI</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Pr>
                <w:color w:val="000000"/>
                <w:sz w:val="24"/>
              </w:rPr>
              <w:t>RISCHI</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Pr>
                <w:color w:val="000000"/>
                <w:sz w:val="22"/>
              </w:rPr>
              <w:t xml:space="preserve">Sebbene il contratto sia stato firmato, il reparto Operazioni non ha ancora l'approvazione per l'installazione dalle città di Denver e Yuma. Gestione del progetto per lavorare con entrambe le città per garantire adeguate autorizzazioni, ecc. in tempo per le installazioni programmate.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Pr>
                <w:color w:val="000000"/>
                <w:sz w:val="24"/>
              </w:rPr>
              <w:t>VINCOLI</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Pr>
                <w:color w:val="000000"/>
                <w:sz w:val="22"/>
              </w:rPr>
              <w:t xml:space="preserve">Dobbiamo “riempire” alcune posizioni chiave di project management e dell'ufficio tecnico per assicurarci di avere persone “sul campo” per gestire l'implementazione delle stazioni EV.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Pr>
                <w:color w:val="000000"/>
                <w:sz w:val="24"/>
              </w:rPr>
              <w:t>IPOTESI</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Pr>
                <w:color w:val="000000"/>
                <w:sz w:val="22"/>
              </w:rPr>
              <w:t xml:space="preserve">Partiamo dal presupposto che tutti i permessi per l'installazione delle stazioni di ricarica per EV saranno forniti dai clienti al momento dell'implementazione.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Pr>
                <w:color w:val="00000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Pr>
                <w:color w:val="00000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Pr>
                <w:color w:val="000000"/>
              </w:rPr>
              <w:t>PREPARATO DA</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Pr>
                <w:color w:val="000000"/>
              </w:rPr>
              <w:t>TITOLO</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Pr>
                <w:color w:val="000000"/>
              </w:rPr>
              <w:t>DATA</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Pr>
                <w:color w:val="000000"/>
                <w:sz w:val="24"/>
              </w:rPr>
              <w:t>Jane Matthews</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Pr>
                <w:color w:val="000000"/>
                <w:sz w:val="24"/>
              </w:rPr>
              <w:t>Senior Project Manager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Pr>
                <w:color w:val="000000"/>
                <w:sz w:val="24"/>
              </w:rPr>
              <w:t>22/04/20XX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DICHIARAZIONE DI NON RESPONSABILITÀ</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Qualsiasi articolo, modello o informazione è fornito da Smartsheet sul sito web solo come riferimento. Pur adoperandoci per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B498" w14:textId="77777777" w:rsidR="00421182" w:rsidRDefault="00421182" w:rsidP="00F36FE0">
      <w:r>
        <w:separator/>
      </w:r>
    </w:p>
  </w:endnote>
  <w:endnote w:type="continuationSeparator" w:id="0">
    <w:p w14:paraId="5AF2E01B" w14:textId="77777777" w:rsidR="00421182" w:rsidRDefault="0042118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9B1B" w14:textId="77777777" w:rsidR="00421182" w:rsidRDefault="00421182" w:rsidP="00F36FE0">
      <w:r>
        <w:separator/>
      </w:r>
    </w:p>
  </w:footnote>
  <w:footnote w:type="continuationSeparator" w:id="0">
    <w:p w14:paraId="6C5C7F28" w14:textId="77777777" w:rsidR="00421182" w:rsidRDefault="0042118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54E0A"/>
    <w:rsid w:val="0006097E"/>
    <w:rsid w:val="00067019"/>
    <w:rsid w:val="000B253B"/>
    <w:rsid w:val="000B3AA5"/>
    <w:rsid w:val="000C02F8"/>
    <w:rsid w:val="000C4DD4"/>
    <w:rsid w:val="000C5A84"/>
    <w:rsid w:val="000D5F7F"/>
    <w:rsid w:val="000E7AF5"/>
    <w:rsid w:val="000F1D44"/>
    <w:rsid w:val="000F2851"/>
    <w:rsid w:val="00105815"/>
    <w:rsid w:val="0011091C"/>
    <w:rsid w:val="00111C4F"/>
    <w:rsid w:val="00121D51"/>
    <w:rsid w:val="0013049A"/>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342A9"/>
    <w:rsid w:val="003457E6"/>
    <w:rsid w:val="00345B4E"/>
    <w:rsid w:val="0036595F"/>
    <w:rsid w:val="003758D7"/>
    <w:rsid w:val="0038526D"/>
    <w:rsid w:val="00385C71"/>
    <w:rsid w:val="00394B27"/>
    <w:rsid w:val="00394B8A"/>
    <w:rsid w:val="003952A0"/>
    <w:rsid w:val="00395D9B"/>
    <w:rsid w:val="003D220F"/>
    <w:rsid w:val="003D28EE"/>
    <w:rsid w:val="003D706E"/>
    <w:rsid w:val="003E0399"/>
    <w:rsid w:val="003E76D2"/>
    <w:rsid w:val="003F787D"/>
    <w:rsid w:val="00421182"/>
    <w:rsid w:val="00422668"/>
    <w:rsid w:val="004238C9"/>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6686"/>
    <w:rsid w:val="00557C38"/>
    <w:rsid w:val="00564375"/>
    <w:rsid w:val="005661FD"/>
    <w:rsid w:val="005779F2"/>
    <w:rsid w:val="00584233"/>
    <w:rsid w:val="005913EC"/>
    <w:rsid w:val="005921CD"/>
    <w:rsid w:val="005A2BD6"/>
    <w:rsid w:val="005B7C30"/>
    <w:rsid w:val="005C1013"/>
    <w:rsid w:val="005F5ABE"/>
    <w:rsid w:val="005F70B0"/>
    <w:rsid w:val="005F7B5D"/>
    <w:rsid w:val="006316D7"/>
    <w:rsid w:val="006317C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5ED2"/>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5349B"/>
    <w:rsid w:val="00A602C1"/>
    <w:rsid w:val="00A649D2"/>
    <w:rsid w:val="00A6738D"/>
    <w:rsid w:val="00A94CC9"/>
    <w:rsid w:val="00A94E32"/>
    <w:rsid w:val="00A95536"/>
    <w:rsid w:val="00AA5E3A"/>
    <w:rsid w:val="00AB1F2A"/>
    <w:rsid w:val="00AD6706"/>
    <w:rsid w:val="00AE12B5"/>
    <w:rsid w:val="00AE1A89"/>
    <w:rsid w:val="00B1033B"/>
    <w:rsid w:val="00B12F76"/>
    <w:rsid w:val="00B14B45"/>
    <w:rsid w:val="00B30F1C"/>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1711A"/>
    <w:rsid w:val="00E62BF6"/>
    <w:rsid w:val="00E7322A"/>
    <w:rsid w:val="00E8348B"/>
    <w:rsid w:val="00E85804"/>
    <w:rsid w:val="00E86F2F"/>
    <w:rsid w:val="00E87354"/>
    <w:rsid w:val="00E97F89"/>
    <w:rsid w:val="00EB23F8"/>
    <w:rsid w:val="00EC3CDB"/>
    <w:rsid w:val="00F05EE6"/>
    <w:rsid w:val="00F11F7B"/>
    <w:rsid w:val="00F200A5"/>
    <w:rsid w:val="00F34FFC"/>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it-IT"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8197"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1057</Words>
  <Characters>6116</Characters>
  <Application>Microsoft Office Word</Application>
  <DocSecurity>0</DocSecurity>
  <Lines>611</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8</cp:revision>
  <cp:lastPrinted>2022-06-26T21:54:00Z</cp:lastPrinted>
  <dcterms:created xsi:type="dcterms:W3CDTF">2023-06-27T00:22:00Z</dcterms:created>
  <dcterms:modified xsi:type="dcterms:W3CDTF">2024-11-24T09:48:00Z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