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5DDB2" w14:textId="6E1BF9C4" w:rsidR="00AB771A" w:rsidRPr="00304703" w:rsidRDefault="00AB771A" w:rsidP="00AC5287">
      <w:pPr>
        <w:pStyle w:val="Header"/>
        <w:rPr>
          <w:rFonts w:ascii="Century Gothic" w:hAnsi="Century Gothic" w:cs="Arial"/>
          <w:b/>
          <w:color w:val="595959" w:themeColor="text1" w:themeTint="A6"/>
          <w:spacing w:val="-6"/>
          <w:sz w:val="44"/>
          <w:szCs w:val="44"/>
        </w:rPr>
      </w:pPr>
      <w:r w:rsidRPr="00304703">
        <w:rPr>
          <w:rFonts w:ascii="Century Gothic" w:hAnsi="Century Gothic"/>
          <w:b/>
          <w:noProof/>
          <w:color w:val="595959" w:themeColor="text1" w:themeTint="A6"/>
          <w:spacing w:val="-6"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4A368DA2" wp14:editId="34EDC314">
            <wp:simplePos x="0" y="0"/>
            <wp:positionH relativeFrom="column">
              <wp:posOffset>4215765</wp:posOffset>
            </wp:positionH>
            <wp:positionV relativeFrom="paragraph">
              <wp:posOffset>38100</wp:posOffset>
            </wp:positionV>
            <wp:extent cx="2714998" cy="540000"/>
            <wp:effectExtent l="0" t="0" r="0" b="0"/>
            <wp:wrapNone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4703">
        <w:rPr>
          <w:rFonts w:ascii="Century Gothic" w:hAnsi="Century Gothic"/>
          <w:b/>
          <w:color w:val="595959" w:themeColor="text1" w:themeTint="A6"/>
          <w:spacing w:val="-6"/>
          <w:sz w:val="44"/>
        </w:rPr>
        <w:t>ESEMPIO DI MODELLO DI</w:t>
      </w:r>
      <w:r w:rsidR="00304703" w:rsidRPr="00304703">
        <w:rPr>
          <w:rFonts w:ascii="Century Gothic" w:eastAsia="等线" w:hAnsi="Century Gothic" w:hint="eastAsia"/>
          <w:b/>
          <w:color w:val="595959" w:themeColor="text1" w:themeTint="A6"/>
          <w:spacing w:val="-6"/>
          <w:sz w:val="44"/>
          <w:lang w:eastAsia="zh-CN"/>
        </w:rPr>
        <w:t xml:space="preserve"> </w:t>
      </w:r>
      <w:r w:rsidRPr="00304703">
        <w:rPr>
          <w:rFonts w:ascii="Century Gothic" w:hAnsi="Century Gothic"/>
          <w:b/>
          <w:color w:val="595959" w:themeColor="text1" w:themeTint="A6"/>
          <w:spacing w:val="-6"/>
          <w:sz w:val="44"/>
        </w:rPr>
        <w:t xml:space="preserve">PIANO </w:t>
      </w:r>
      <w:r w:rsidR="00304703">
        <w:rPr>
          <w:rFonts w:ascii="Century Gothic" w:eastAsia="等线" w:hAnsi="Century Gothic"/>
          <w:b/>
          <w:color w:val="595959" w:themeColor="text1" w:themeTint="A6"/>
          <w:spacing w:val="-6"/>
          <w:sz w:val="44"/>
          <w:lang w:eastAsia="zh-CN"/>
        </w:rPr>
        <w:br/>
      </w:r>
      <w:r w:rsidRPr="00304703">
        <w:rPr>
          <w:rFonts w:ascii="Century Gothic" w:hAnsi="Century Gothic"/>
          <w:b/>
          <w:color w:val="595959" w:themeColor="text1" w:themeTint="A6"/>
          <w:spacing w:val="-6"/>
          <w:sz w:val="44"/>
        </w:rPr>
        <w:t xml:space="preserve">STRATEGICO PER L'it </w:t>
      </w:r>
      <w:r w:rsidR="00304703">
        <w:rPr>
          <w:rFonts w:ascii="Century Gothic" w:eastAsia="等线" w:hAnsi="Century Gothic"/>
          <w:b/>
          <w:color w:val="595959" w:themeColor="text1" w:themeTint="A6"/>
          <w:spacing w:val="-6"/>
          <w:sz w:val="44"/>
          <w:lang w:eastAsia="zh-CN"/>
        </w:rPr>
        <w:br/>
      </w:r>
      <w:r w:rsidRPr="00304703">
        <w:rPr>
          <w:rFonts w:ascii="Century Gothic" w:hAnsi="Century Gothic"/>
          <w:b/>
          <w:color w:val="595959" w:themeColor="text1" w:themeTint="A6"/>
          <w:spacing w:val="-6"/>
          <w:sz w:val="44"/>
        </w:rPr>
        <w:t>(INFORMATION TECHNOLOGY)</w:t>
      </w:r>
      <w:r w:rsidR="00B7694B" w:rsidRPr="00304703">
        <w:rPr>
          <w:rFonts w:ascii="Century Gothic" w:hAnsi="Century Gothic"/>
          <w:b/>
          <w:color w:val="595959" w:themeColor="text1" w:themeTint="A6"/>
          <w:spacing w:val="-6"/>
          <w:sz w:val="44"/>
          <w:szCs w:val="44"/>
        </w:rPr>
        <w:br/>
      </w:r>
      <w:r w:rsidRPr="00304703">
        <w:rPr>
          <w:rFonts w:ascii="Century Gothic" w:hAnsi="Century Gothic"/>
          <w:b/>
          <w:color w:val="595959" w:themeColor="text1" w:themeTint="A6"/>
          <w:spacing w:val="-6"/>
          <w:sz w:val="44"/>
        </w:rPr>
        <w:t>per Microsoft Word</w:t>
      </w:r>
    </w:p>
    <w:p w14:paraId="616AC4A3" w14:textId="1640EC25" w:rsidR="00AB771A" w:rsidRPr="00AB771A" w:rsidRDefault="00AB771A" w:rsidP="00AC5287">
      <w:pPr>
        <w:pStyle w:val="Header"/>
        <w:rPr>
          <w:rFonts w:ascii="Century Gothic" w:hAnsi="Century Gothic" w:cs="Arial"/>
          <w:b/>
          <w:color w:val="595959" w:themeColor="text1" w:themeTint="A6"/>
          <w:sz w:val="16"/>
          <w:szCs w:val="16"/>
        </w:rPr>
      </w:pPr>
    </w:p>
    <w:p w14:paraId="591A1F97" w14:textId="54A86502" w:rsidR="00AB771A" w:rsidRPr="00AB771A" w:rsidRDefault="00AB771A" w:rsidP="00AC5287">
      <w:pPr>
        <w:pStyle w:val="Header"/>
        <w:rPr>
          <w:rFonts w:ascii="Century Gothic" w:hAnsi="Century Gothic" w:cs="Arial"/>
          <w:b/>
          <w:color w:val="595959" w:themeColor="text1" w:themeTint="A6"/>
        </w:rPr>
      </w:pPr>
    </w:p>
    <w:p w14:paraId="3F4B0064" w14:textId="5B37E653" w:rsidR="00AB771A" w:rsidRDefault="00304703">
      <w:pPr>
        <w:rPr>
          <w:rFonts w:ascii="Century Gothic" w:hAnsi="Century Gothic" w:cs="Arial"/>
          <w:b/>
          <w:color w:val="A6A6A6" w:themeColor="background1" w:themeShade="A6"/>
          <w:sz w:val="44"/>
          <w:szCs w:val="44"/>
        </w:rPr>
      </w:pPr>
      <w:r>
        <w:rPr>
          <w:rFonts w:ascii="Century Gothic" w:hAnsi="Century Gothic" w:cs="Arial"/>
          <w:b/>
          <w:noProof/>
          <w:color w:val="595959" w:themeColor="text1" w:themeTint="A6"/>
        </w:rPr>
        <w:drawing>
          <wp:anchor distT="0" distB="0" distL="114300" distR="114300" simplePos="0" relativeHeight="251660288" behindDoc="0" locked="0" layoutInCell="1" allowOverlap="1" wp14:anchorId="0CB67BFA" wp14:editId="464F5FD3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6913245" cy="3792855"/>
            <wp:effectExtent l="0" t="0" r="1905" b="0"/>
            <wp:wrapNone/>
            <wp:docPr id="16261306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30670" name="Picture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" r="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245" cy="3792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6E4FDE4" w14:textId="51A2329C" w:rsidR="00AB771A" w:rsidRDefault="000403E2">
      <w:pPr>
        <w:rPr>
          <w:rFonts w:ascii="Century Gothic" w:hAnsi="Century Gothic" w:cs="Arial"/>
          <w:b/>
          <w:color w:val="A6A6A6" w:themeColor="background1" w:themeShade="A6"/>
          <w:sz w:val="44"/>
          <w:szCs w:val="44"/>
        </w:rPr>
      </w:pPr>
      <w:r>
        <w:rPr>
          <w:rFonts w:ascii="Century Gothic" w:hAnsi="Century Gothic"/>
          <w:b/>
          <w:noProof/>
          <w:color w:val="A6A6A6" w:themeColor="background1" w:themeShade="A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D6587B" wp14:editId="10CB801A">
                <wp:simplePos x="0" y="0"/>
                <wp:positionH relativeFrom="column">
                  <wp:posOffset>0</wp:posOffset>
                </wp:positionH>
                <wp:positionV relativeFrom="paragraph">
                  <wp:posOffset>3957320</wp:posOffset>
                </wp:positionV>
                <wp:extent cx="6913245" cy="2305050"/>
                <wp:effectExtent l="0" t="0" r="20955" b="22225"/>
                <wp:wrapNone/>
                <wp:docPr id="19123164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324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2E23A"/>
                          </a:solidFill>
                        </a:ln>
                      </wps:spPr>
                      <wps:txbx>
                        <w:txbxContent>
                          <w:p w14:paraId="6C57CDDD" w14:textId="6472351D" w:rsidR="00D601A2" w:rsidRPr="00D601A2" w:rsidRDefault="00B7694B" w:rsidP="009215F4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</w:rPr>
                              <w:t>Questo modello serve come documento di base per garantire che le iniziative IT di Positive Charge siano strategicamente allineate e focalizzate sulla fornitura di valore alla nostra organizzazione. L'aggiornamento regolare di questo piano ti aiuterà a districarti nel panorama tecnologico in rapida evoluzione e a mantenere l'allineamento con gli obiettivi in evoluzione di Positive Charge.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658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11.6pt;width:544.35pt;height:18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" fillcolor="white [3201]" strokecolor="#e2e23a" strokeweight=".5pt">
                <v:textbox>
                  <w:txbxContent>
                    <w:p w14:paraId="6C57CDDD" w14:textId="6472351D" w:rsidR="00D601A2" w:rsidRPr="00D601A2" w:rsidRDefault="00B7694B" w:rsidP="009215F4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</w:rPr>
                        <w:t xml:space="preserve">Questo </w:t>
                      </w:r>
                      <w:r>
                        <w:rPr>
                          <w:rFonts w:ascii="Century Gothic" w:hAnsi="Century Gothic"/>
                          <w:color w:val="595959" w:themeColor="text1" w:themeTint="A6"/>
                        </w:rPr>
                        <w:t>modello serve come documento di base per garantire che le iniziative IT di Positive Charge siano strategicamente allineate e focalizzate sulla fornitura di valore alla nostra organizzazione. L'aggiornamento regolare di questo piano ti aiuterà a districarti nel panorama tecnologico in rapida evoluzione e a mantenere l'allineamento con gli obiettivi in evoluzione di Positive Charge.</w:t>
                      </w:r>
                    </w:p>
                  </w:txbxContent>
                </v:textbox>
              </v:shape>
            </w:pict>
          </mc:Fallback>
        </mc:AlternateContent>
      </w:r>
      <w:r w:rsidR="00AB771A">
        <w:rPr>
          <w:rFonts w:ascii="Century Gothic" w:hAnsi="Century Gothic"/>
          <w:b/>
          <w:color w:val="A6A6A6" w:themeColor="background1" w:themeShade="A6"/>
          <w:sz w:val="44"/>
          <w:szCs w:val="44"/>
        </w:rPr>
        <w:br w:type="page"/>
      </w:r>
    </w:p>
    <w:p w14:paraId="4E40CA91" w14:textId="1C71B7BB" w:rsidR="00373A2C" w:rsidRPr="00C7335E" w:rsidRDefault="00373A2C" w:rsidP="00A63DB9">
      <w:pPr>
        <w:rPr>
          <w:rFonts w:ascii="Century Gothic" w:hAnsi="Century Gothic" w:cs="Arial"/>
          <w:bCs/>
          <w:color w:val="595959" w:themeColor="text1" w:themeTint="A6"/>
          <w:spacing w:val="40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spacing w:val="40"/>
          <w:sz w:val="44"/>
        </w:rPr>
        <w:lastRenderedPageBreak/>
        <w:t>EXECUTIVE</w:t>
      </w:r>
      <w:r w:rsidRPr="00C7335E">
        <w:rPr>
          <w:rFonts w:ascii="Century Gothic" w:hAnsi="Century Gothic"/>
          <w:bCs/>
          <w:color w:val="595959" w:themeColor="text1" w:themeTint="A6"/>
          <w:spacing w:val="40"/>
          <w:sz w:val="44"/>
          <w:szCs w:val="44"/>
        </w:rPr>
        <w:t xml:space="preserve"> SUMMARY</w:t>
      </w:r>
    </w:p>
    <w:p w14:paraId="3E470524" w14:textId="62DB312E" w:rsidR="00E027D3" w:rsidRDefault="00B7694B" w:rsidP="00A63DB9">
      <w:p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color w:val="595959" w:themeColor="text1" w:themeTint="A6"/>
          <w:sz w:val="22"/>
        </w:rPr>
        <w:t>Il piano strategico per l'IT di Positive Charge ha lo scopo di modernizzare l'infrastruttura dell'azienda, migliorare la sicurezza dei dati e sostenere l'espansione delle reti di ricarica per veicoli elettrici. Dando priorità alle soluzioni cloud, alle misure di sicurezza informatica e all'analisi dei dati, semplificheremo le operazioni e miglioreremo l'erogazione dei servizi.</w:t>
      </w:r>
    </w:p>
    <w:p w14:paraId="5EBC3899" w14:textId="68A9499F" w:rsidR="00630C58" w:rsidRPr="00C7335E" w:rsidRDefault="00630C58" w:rsidP="00A63DB9">
      <w:pPr>
        <w:rPr>
          <w:rFonts w:ascii="Century Gothic" w:hAnsi="Century Gothic" w:cs="Arial"/>
          <w:bCs/>
          <w:color w:val="595959" w:themeColor="text1" w:themeTint="A6"/>
          <w:spacing w:val="40"/>
          <w:sz w:val="44"/>
          <w:szCs w:val="44"/>
        </w:rPr>
      </w:pPr>
      <w:r w:rsidRPr="00F26006">
        <w:rPr>
          <w:rFonts w:ascii="Century Gothic" w:hAnsi="Century Gothic"/>
          <w:b/>
          <w:color w:val="595959" w:themeColor="text1" w:themeTint="A6"/>
          <w:spacing w:val="40"/>
          <w:sz w:val="44"/>
          <w:szCs w:val="44"/>
        </w:rPr>
        <w:t>DICHIARAZIONE</w:t>
      </w:r>
      <w:r w:rsidRPr="00C7335E">
        <w:rPr>
          <w:rFonts w:ascii="Century Gothic" w:hAnsi="Century Gothic"/>
          <w:bCs/>
          <w:color w:val="595959" w:themeColor="text1" w:themeTint="A6"/>
          <w:spacing w:val="40"/>
          <w:sz w:val="44"/>
          <w:szCs w:val="44"/>
        </w:rPr>
        <w:t xml:space="preserve"> DELLA VISION</w:t>
      </w:r>
    </w:p>
    <w:p w14:paraId="3D0EEF48" w14:textId="6058D6E4" w:rsidR="00E027D3" w:rsidRDefault="000A6039" w:rsidP="00A63DB9">
      <w:p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color w:val="595959" w:themeColor="text1" w:themeTint="A6"/>
          <w:sz w:val="22"/>
        </w:rPr>
        <w:t>Essere la forza tecnologica che porta Positive Charge in prima linea nel settore della ricarica e della logistica per veicoli elettrici, consentendo operazioni perfette, sicure e sostenibili.</w:t>
      </w:r>
    </w:p>
    <w:p w14:paraId="16F5C78A" w14:textId="517F99F7" w:rsidR="005D329C" w:rsidRPr="00C7335E" w:rsidRDefault="005D329C" w:rsidP="00A63DB9">
      <w:pPr>
        <w:rPr>
          <w:rFonts w:ascii="Century Gothic" w:hAnsi="Century Gothic" w:cs="Arial"/>
          <w:bCs/>
          <w:color w:val="595959" w:themeColor="text1" w:themeTint="A6"/>
          <w:spacing w:val="40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spacing w:val="40"/>
          <w:sz w:val="44"/>
        </w:rPr>
        <w:t>DICHIARAZIONE</w:t>
      </w:r>
      <w:r w:rsidRPr="00C7335E">
        <w:rPr>
          <w:rFonts w:ascii="Century Gothic" w:hAnsi="Century Gothic"/>
          <w:bCs/>
          <w:color w:val="595959" w:themeColor="text1" w:themeTint="A6"/>
          <w:spacing w:val="40"/>
          <w:sz w:val="44"/>
          <w:szCs w:val="44"/>
        </w:rPr>
        <w:t xml:space="preserve"> DELLA MISSION</w:t>
      </w:r>
    </w:p>
    <w:p w14:paraId="108F1FD6" w14:textId="42426CA2" w:rsidR="00E027D3" w:rsidRDefault="000A6039" w:rsidP="00A63DB9">
      <w:p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color w:val="595959" w:themeColor="text1" w:themeTint="A6"/>
          <w:sz w:val="22"/>
        </w:rPr>
        <w:t>La nostra mission è fornire soluzioni IT innovative che ottimizzino le operazioni, garantiscano l'integrità dei dati e migliorino l'esperienza dei clienti, supportando l'obiettivo di Positive Charge di guidare il settore della ricarica EV.</w:t>
      </w:r>
    </w:p>
    <w:p w14:paraId="136C9D96" w14:textId="4A38DD27" w:rsidR="005D329C" w:rsidRPr="00C7335E" w:rsidRDefault="00990BA9" w:rsidP="00A63DB9">
      <w:pPr>
        <w:rPr>
          <w:rFonts w:ascii="Century Gothic" w:hAnsi="Century Gothic" w:cs="Arial"/>
          <w:bCs/>
          <w:color w:val="595959" w:themeColor="text1" w:themeTint="A6"/>
          <w:spacing w:val="40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spacing w:val="40"/>
          <w:sz w:val="44"/>
        </w:rPr>
        <w:t xml:space="preserve">STATO </w:t>
      </w:r>
      <w:r w:rsidRPr="00C7335E">
        <w:rPr>
          <w:rFonts w:ascii="Century Gothic" w:hAnsi="Century Gothic"/>
          <w:bCs/>
          <w:color w:val="595959" w:themeColor="text1" w:themeTint="A6"/>
          <w:spacing w:val="40"/>
          <w:sz w:val="44"/>
          <w:szCs w:val="44"/>
        </w:rPr>
        <w:t>ATTUALE DELL'IT</w:t>
      </w:r>
    </w:p>
    <w:p w14:paraId="325347B4" w14:textId="1E620210" w:rsidR="00E027D3" w:rsidRDefault="000A6039" w:rsidP="00A63DB9">
      <w:p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color w:val="595959" w:themeColor="text1" w:themeTint="A6"/>
          <w:sz w:val="22"/>
        </w:rPr>
        <w:t>L'attuale infrastruttura IT di Positive Charge ci ha servito bene, ma richiede aggiornamenti per supportare le nostre operazioni in crescita. Affrontiamo sfide nell'integrazione dei dati e nella sicurezza informatica, ma abbiamo l'opportunità di sfruttare il cloud computing e le tecnologie IoT per una migliore fornitura dei servizi.</w:t>
      </w:r>
    </w:p>
    <w:p w14:paraId="608F77BD" w14:textId="7AABBF5F" w:rsidR="0079125E" w:rsidRPr="00C7335E" w:rsidRDefault="0079125E" w:rsidP="00A63DB9">
      <w:pPr>
        <w:rPr>
          <w:rFonts w:ascii="Century Gothic" w:hAnsi="Century Gothic" w:cs="Arial"/>
          <w:bCs/>
          <w:color w:val="595959" w:themeColor="text1" w:themeTint="A6"/>
          <w:spacing w:val="40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spacing w:val="40"/>
          <w:sz w:val="44"/>
        </w:rPr>
        <w:t>TRAGUARDI STRATEGICI</w:t>
      </w:r>
      <w:r w:rsidRPr="00C7335E">
        <w:rPr>
          <w:rFonts w:ascii="Century Gothic" w:hAnsi="Century Gothic"/>
          <w:bCs/>
          <w:color w:val="595959" w:themeColor="text1" w:themeTint="A6"/>
          <w:spacing w:val="40"/>
          <w:sz w:val="44"/>
          <w:szCs w:val="44"/>
        </w:rPr>
        <w:t xml:space="preserve"> E OBIETTIVI</w:t>
      </w:r>
    </w:p>
    <w:p w14:paraId="2CBEFD79" w14:textId="7CB0AEB7" w:rsidR="000A6039" w:rsidRPr="00DE6EA7" w:rsidRDefault="000A6039" w:rsidP="00DE6EA7">
      <w:pPr>
        <w:pStyle w:val="ListParagraph"/>
        <w:numPr>
          <w:ilvl w:val="0"/>
          <w:numId w:val="43"/>
        </w:num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color w:val="595959" w:themeColor="text1" w:themeTint="A6"/>
          <w:sz w:val="22"/>
        </w:rPr>
        <w:t>Migrare il 75% dei dati e delle applicazioni al cloud per migliorare la scalabilità e il disaster recovery entro il quarto trimestre del 2024.</w:t>
      </w:r>
    </w:p>
    <w:p w14:paraId="360EE133" w14:textId="253DF1F3" w:rsidR="000A6039" w:rsidRPr="00DE6EA7" w:rsidRDefault="000A6039" w:rsidP="00DE6EA7">
      <w:pPr>
        <w:pStyle w:val="ListParagraph"/>
        <w:numPr>
          <w:ilvl w:val="0"/>
          <w:numId w:val="43"/>
        </w:num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color w:val="595959" w:themeColor="text1" w:themeTint="A6"/>
          <w:sz w:val="22"/>
        </w:rPr>
        <w:t>Implementare un framework di sicurezza informatica a livello aziendale, riducendo la vulnerabilità alle minacce informatiche del 50% entro il secondo trimestre del 2025.</w:t>
      </w:r>
    </w:p>
    <w:p w14:paraId="6D9F608A" w14:textId="1B34EDA2" w:rsidR="00E027D3" w:rsidRPr="00DE6EA7" w:rsidRDefault="000A6039" w:rsidP="00DE6EA7">
      <w:pPr>
        <w:pStyle w:val="ListParagraph"/>
        <w:numPr>
          <w:ilvl w:val="0"/>
          <w:numId w:val="43"/>
        </w:num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color w:val="595959" w:themeColor="text1" w:themeTint="A6"/>
          <w:sz w:val="22"/>
        </w:rPr>
        <w:t>Sviluppare una piattaforma di analisi dei dati per ottimizzare la logistica e le prestazioni delle stazioni di ricarica, aumentando l'efficienza del 30% entro il terzo trimestre del 2025.</w:t>
      </w:r>
    </w:p>
    <w:p w14:paraId="0970C975" w14:textId="429A9358" w:rsidR="0079125E" w:rsidRPr="00C7335E" w:rsidRDefault="0079125E" w:rsidP="00A63DB9">
      <w:pPr>
        <w:rPr>
          <w:rFonts w:ascii="Century Gothic" w:hAnsi="Century Gothic" w:cs="Arial"/>
          <w:bCs/>
          <w:color w:val="595959" w:themeColor="text1" w:themeTint="A6"/>
          <w:spacing w:val="40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spacing w:val="40"/>
          <w:sz w:val="44"/>
        </w:rPr>
        <w:t>INIZIATIVE STRATEGICHE</w:t>
      </w:r>
      <w:r w:rsidRPr="00C7335E">
        <w:rPr>
          <w:rFonts w:ascii="Century Gothic" w:hAnsi="Century Gothic"/>
          <w:bCs/>
          <w:color w:val="595959" w:themeColor="text1" w:themeTint="A6"/>
          <w:spacing w:val="40"/>
          <w:sz w:val="44"/>
          <w:szCs w:val="44"/>
        </w:rPr>
        <w:t xml:space="preserve"> E PROGETTI</w:t>
      </w:r>
    </w:p>
    <w:p w14:paraId="4E72D2BF" w14:textId="63E0FA91" w:rsidR="00384CFD" w:rsidRPr="00DE6EA7" w:rsidRDefault="00384CFD" w:rsidP="00DE6EA7">
      <w:pPr>
        <w:pStyle w:val="ListParagraph"/>
        <w:numPr>
          <w:ilvl w:val="0"/>
          <w:numId w:val="41"/>
        </w:num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b/>
          <w:color w:val="595959" w:themeColor="text1" w:themeTint="A6"/>
          <w:sz w:val="22"/>
        </w:rPr>
        <w:t>Progetto di migrazione al cloud:</w:t>
      </w:r>
      <w:r w:rsidRPr="00DE6EA7">
        <w:rPr>
          <w:rFonts w:ascii="Century Gothic" w:hAnsi="Century Gothic"/>
          <w:color w:val="595959" w:themeColor="text1" w:themeTint="A6"/>
          <w:sz w:val="22"/>
          <w:szCs w:val="22"/>
        </w:rPr>
        <w:t xml:space="preserve"> collaborare con un fornitore leader di servizi cloud per la transizione del nostro archivio dati e delle nostre applicazioni.</w:t>
      </w:r>
    </w:p>
    <w:p w14:paraId="260BC507" w14:textId="26681EE4" w:rsidR="00384CFD" w:rsidRPr="00DE6EA7" w:rsidRDefault="00384CFD" w:rsidP="00DE6EA7">
      <w:pPr>
        <w:pStyle w:val="ListParagraph"/>
        <w:numPr>
          <w:ilvl w:val="0"/>
          <w:numId w:val="41"/>
        </w:num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b/>
          <w:color w:val="595959" w:themeColor="text1" w:themeTint="A6"/>
          <w:sz w:val="22"/>
        </w:rPr>
        <w:t>Programma di miglioramento della sicurezza informatica:</w:t>
      </w:r>
      <w:r w:rsidRPr="00DE6EA7">
        <w:rPr>
          <w:rFonts w:ascii="Century Gothic" w:hAnsi="Century Gothic"/>
          <w:color w:val="595959" w:themeColor="text1" w:themeTint="A6"/>
          <w:sz w:val="22"/>
          <w:szCs w:val="22"/>
        </w:rPr>
        <w:t xml:space="preserve"> implementare protocolli di sicurezza avanzati, formazione dei dipendenti e strategie di risposta agli incidenti.</w:t>
      </w:r>
    </w:p>
    <w:p w14:paraId="20AE25FF" w14:textId="58D60C0C" w:rsidR="00E027D3" w:rsidRPr="00DE6EA7" w:rsidRDefault="00384CFD" w:rsidP="00DE6EA7">
      <w:pPr>
        <w:pStyle w:val="ListParagraph"/>
        <w:numPr>
          <w:ilvl w:val="0"/>
          <w:numId w:val="41"/>
        </w:num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b/>
          <w:color w:val="595959" w:themeColor="text1" w:themeTint="A6"/>
          <w:sz w:val="22"/>
        </w:rPr>
        <w:t>Sviluppo della piattaforma di analisi dei dati:</w:t>
      </w:r>
      <w:r w:rsidRPr="00DE6EA7">
        <w:rPr>
          <w:rFonts w:ascii="Century Gothic" w:hAnsi="Century Gothic"/>
          <w:color w:val="595959" w:themeColor="text1" w:themeTint="A6"/>
          <w:sz w:val="22"/>
          <w:szCs w:val="22"/>
        </w:rPr>
        <w:t xml:space="preserve"> creare uno strumento di analisi personalizzato per analizzare l'utilizzo delle stazioni di ricarica e le prestazioni logistiche.</w:t>
      </w:r>
    </w:p>
    <w:p w14:paraId="691FBB6D" w14:textId="21E570A0" w:rsidR="00D255EF" w:rsidRPr="00C7335E" w:rsidRDefault="00D255EF" w:rsidP="00A63DB9">
      <w:pPr>
        <w:rPr>
          <w:rFonts w:ascii="Century Gothic" w:hAnsi="Century Gothic" w:cs="Arial"/>
          <w:bCs/>
          <w:color w:val="595959" w:themeColor="text1" w:themeTint="A6"/>
          <w:spacing w:val="40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spacing w:val="40"/>
          <w:sz w:val="44"/>
        </w:rPr>
        <w:t xml:space="preserve">STRUTTURA DELLA </w:t>
      </w:r>
      <w:r w:rsidRPr="00C7335E">
        <w:rPr>
          <w:rFonts w:ascii="Century Gothic" w:hAnsi="Century Gothic"/>
          <w:bCs/>
          <w:color w:val="595959" w:themeColor="text1" w:themeTint="A6"/>
          <w:spacing w:val="40"/>
          <w:sz w:val="44"/>
          <w:szCs w:val="44"/>
        </w:rPr>
        <w:t>GOVERNANCE IT</w:t>
      </w:r>
    </w:p>
    <w:p w14:paraId="0C831D7A" w14:textId="0A5BE020" w:rsidR="00E027D3" w:rsidRDefault="00384CFD" w:rsidP="00A63DB9">
      <w:p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color w:val="595959" w:themeColor="text1" w:themeTint="A6"/>
          <w:sz w:val="22"/>
        </w:rPr>
        <w:t>Creare un comitato direttivo IT, composto da capi reparto e responsabili IT, per guidare il processo decisionale, assegnare priorità ai progetti e garantire l'allineamento con gli obiettivi aziendali.</w:t>
      </w:r>
    </w:p>
    <w:p w14:paraId="1A370109" w14:textId="3D3FEAEE" w:rsidR="005940AC" w:rsidRPr="00C7335E" w:rsidRDefault="005940AC" w:rsidP="00A63DB9">
      <w:pPr>
        <w:rPr>
          <w:rFonts w:ascii="Century Gothic" w:hAnsi="Century Gothic" w:cs="Arial"/>
          <w:bCs/>
          <w:color w:val="595959" w:themeColor="text1" w:themeTint="A6"/>
          <w:spacing w:val="40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spacing w:val="40"/>
          <w:sz w:val="44"/>
        </w:rPr>
        <w:t>ROADMAP</w:t>
      </w:r>
      <w:r w:rsidRPr="00C7335E">
        <w:rPr>
          <w:rFonts w:ascii="Century Gothic" w:hAnsi="Century Gothic"/>
          <w:bCs/>
          <w:color w:val="595959" w:themeColor="text1" w:themeTint="A6"/>
          <w:spacing w:val="40"/>
          <w:sz w:val="44"/>
          <w:szCs w:val="44"/>
        </w:rPr>
        <w:t xml:space="preserve"> TECNOLOGICA</w:t>
      </w:r>
    </w:p>
    <w:p w14:paraId="184C087F" w14:textId="1592B86C" w:rsidR="00384CFD" w:rsidRPr="00DE6EA7" w:rsidRDefault="00384CFD" w:rsidP="00DE6EA7">
      <w:pPr>
        <w:pStyle w:val="ListParagraph"/>
        <w:numPr>
          <w:ilvl w:val="0"/>
          <w:numId w:val="40"/>
        </w:num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b/>
          <w:color w:val="595959" w:themeColor="text1" w:themeTint="A6"/>
          <w:sz w:val="22"/>
        </w:rPr>
        <w:t>2024</w:t>
      </w:r>
      <w:r>
        <w:rPr>
          <w:rFonts w:ascii="Century Gothic" w:hAnsi="Century Gothic"/>
          <w:color w:val="595959" w:themeColor="text1" w:themeTint="A6"/>
          <w:sz w:val="22"/>
        </w:rPr>
        <w:t>: avviare la migrazione al cloud e lanciare il programma di sicurezza informatica.</w:t>
      </w:r>
    </w:p>
    <w:p w14:paraId="399F7BA4" w14:textId="4ED52407" w:rsidR="00E027D3" w:rsidRPr="00DE6EA7" w:rsidRDefault="00384CFD" w:rsidP="00DE6EA7">
      <w:pPr>
        <w:pStyle w:val="ListParagraph"/>
        <w:numPr>
          <w:ilvl w:val="0"/>
          <w:numId w:val="40"/>
        </w:num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b/>
          <w:color w:val="595959" w:themeColor="text1" w:themeTint="A6"/>
          <w:sz w:val="22"/>
        </w:rPr>
        <w:t>2025</w:t>
      </w:r>
      <w:r>
        <w:rPr>
          <w:rFonts w:ascii="Century Gothic" w:hAnsi="Century Gothic"/>
          <w:color w:val="595959" w:themeColor="text1" w:themeTint="A6"/>
          <w:sz w:val="22"/>
        </w:rPr>
        <w:t>: completare la transizione al cloud; implementare la piattaforma di analisi dei dati; avviare l'IoT per l'ottimizzazione logistica.</w:t>
      </w:r>
    </w:p>
    <w:p w14:paraId="4549394C" w14:textId="77777777" w:rsidR="00E027D3" w:rsidRPr="00304703" w:rsidRDefault="00E027D3" w:rsidP="00A63DB9">
      <w:pPr>
        <w:spacing w:after="240"/>
        <w:rPr>
          <w:rFonts w:ascii="Century Gothic" w:hAnsi="Century Gothic" w:cs="Arial"/>
          <w:color w:val="595959" w:themeColor="text1" w:themeTint="A6"/>
          <w:sz w:val="2"/>
          <w:szCs w:val="2"/>
        </w:rPr>
      </w:pPr>
    </w:p>
    <w:p w14:paraId="755D00CB" w14:textId="63CDAD04" w:rsidR="005940AC" w:rsidRPr="00C7335E" w:rsidRDefault="005940AC" w:rsidP="00A63DB9">
      <w:pPr>
        <w:rPr>
          <w:rFonts w:ascii="Century Gothic" w:hAnsi="Century Gothic" w:cs="Arial"/>
          <w:bCs/>
          <w:color w:val="595959" w:themeColor="text1" w:themeTint="A6"/>
          <w:spacing w:val="40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spacing w:val="40"/>
          <w:sz w:val="44"/>
        </w:rPr>
        <w:lastRenderedPageBreak/>
        <w:t>PIANO DI GESTIONE</w:t>
      </w:r>
      <w:r w:rsidRPr="00C7335E">
        <w:rPr>
          <w:rFonts w:ascii="Century Gothic" w:hAnsi="Century Gothic"/>
          <w:bCs/>
          <w:color w:val="595959" w:themeColor="text1" w:themeTint="A6"/>
          <w:spacing w:val="40"/>
          <w:sz w:val="44"/>
          <w:szCs w:val="44"/>
        </w:rPr>
        <w:t xml:space="preserve"> DEI RISCHI</w:t>
      </w:r>
    </w:p>
    <w:p w14:paraId="060BF44B" w14:textId="3CF55865" w:rsidR="00E027D3" w:rsidRDefault="00384CFD" w:rsidP="00A63DB9">
      <w:p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color w:val="595959" w:themeColor="text1" w:themeTint="A6"/>
          <w:sz w:val="22"/>
        </w:rPr>
        <w:t>Identificare i rischi associati alla migrazione al cloud, alle minacce alla sicurezza informatica e alla gestione dei dati. Sviluppare piani di emergenza per le violazioni dei dati e i tempi di inattività del sistema e garantire la conformità alle normative sulla protezione dei dati.</w:t>
      </w:r>
    </w:p>
    <w:p w14:paraId="1C926873" w14:textId="3B612EFD" w:rsidR="00CB2E1D" w:rsidRPr="00C7335E" w:rsidRDefault="00CB2E1D" w:rsidP="00A63DB9">
      <w:pPr>
        <w:rPr>
          <w:rFonts w:ascii="Century Gothic" w:hAnsi="Century Gothic" w:cs="Arial"/>
          <w:bCs/>
          <w:color w:val="595959" w:themeColor="text1" w:themeTint="A6"/>
          <w:spacing w:val="40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spacing w:val="40"/>
          <w:sz w:val="44"/>
        </w:rPr>
        <w:t xml:space="preserve">BUDGET </w:t>
      </w:r>
      <w:r w:rsidRPr="00144B07">
        <w:rPr>
          <w:rFonts w:ascii="Century Gothic" w:hAnsi="Century Gothic"/>
          <w:bCs/>
          <w:color w:val="595959" w:themeColor="text1" w:themeTint="A6"/>
          <w:spacing w:val="40"/>
          <w:sz w:val="44"/>
        </w:rPr>
        <w:t>E</w:t>
      </w:r>
      <w:r>
        <w:rPr>
          <w:rFonts w:ascii="Century Gothic" w:hAnsi="Century Gothic"/>
          <w:b/>
          <w:color w:val="595959" w:themeColor="text1" w:themeTint="A6"/>
          <w:spacing w:val="40"/>
          <w:sz w:val="44"/>
        </w:rPr>
        <w:t xml:space="preserve"> </w:t>
      </w:r>
      <w:r w:rsidRPr="00C7335E">
        <w:rPr>
          <w:rFonts w:ascii="Century Gothic" w:hAnsi="Century Gothic"/>
          <w:bCs/>
          <w:color w:val="595959" w:themeColor="text1" w:themeTint="A6"/>
          <w:spacing w:val="40"/>
          <w:sz w:val="44"/>
          <w:szCs w:val="44"/>
        </w:rPr>
        <w:t>PIANO DELLE RISORSE</w:t>
      </w:r>
    </w:p>
    <w:p w14:paraId="05799556" w14:textId="6DC9D4ED" w:rsidR="00E027D3" w:rsidRDefault="00DE6EA7" w:rsidP="00A63DB9">
      <w:p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color w:val="595959" w:themeColor="text1" w:themeTint="A6"/>
          <w:sz w:val="22"/>
        </w:rPr>
        <w:t>Stanziare 5 milioni di dollari nei prossimi due anni per i servizi cloud, le misure di sicurezza informatica e lo sviluppo della piattaforma di analisi dei dati. Investire nella formazione per il personale IT sulle tecnologie cloud e di sicurezza.</w:t>
      </w:r>
    </w:p>
    <w:p w14:paraId="13E788C4" w14:textId="5BB84D10" w:rsidR="00CB2E1D" w:rsidRPr="00C7335E" w:rsidRDefault="00CB2E1D" w:rsidP="00A63DB9">
      <w:pPr>
        <w:rPr>
          <w:rFonts w:ascii="Century Gothic" w:hAnsi="Century Gothic" w:cs="Arial"/>
          <w:bCs/>
          <w:color w:val="595959" w:themeColor="text1" w:themeTint="A6"/>
          <w:spacing w:val="40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spacing w:val="40"/>
          <w:sz w:val="44"/>
        </w:rPr>
        <w:t>PARAMETRI DELLE PRESTAZIONI</w:t>
      </w:r>
      <w:r w:rsidRPr="00C7335E">
        <w:rPr>
          <w:rFonts w:ascii="Century Gothic" w:hAnsi="Century Gothic"/>
          <w:bCs/>
          <w:color w:val="595959" w:themeColor="text1" w:themeTint="A6"/>
          <w:spacing w:val="40"/>
          <w:sz w:val="44"/>
          <w:szCs w:val="44"/>
        </w:rPr>
        <w:t xml:space="preserve"> E KPI</w:t>
      </w:r>
    </w:p>
    <w:p w14:paraId="1887AFC4" w14:textId="381A0F52" w:rsidR="00DE6EA7" w:rsidRPr="00DE6EA7" w:rsidRDefault="00DE6EA7" w:rsidP="00DE6EA7">
      <w:pPr>
        <w:pStyle w:val="ListParagraph"/>
        <w:numPr>
          <w:ilvl w:val="0"/>
          <w:numId w:val="39"/>
        </w:num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color w:val="595959" w:themeColor="text1" w:themeTint="A6"/>
          <w:sz w:val="22"/>
        </w:rPr>
        <w:t>Tasso di completamento della migrazione cloud</w:t>
      </w:r>
    </w:p>
    <w:p w14:paraId="286EAC93" w14:textId="29E3B71B" w:rsidR="00DE6EA7" w:rsidRPr="00DE6EA7" w:rsidRDefault="00DE6EA7" w:rsidP="00DE6EA7">
      <w:pPr>
        <w:pStyle w:val="ListParagraph"/>
        <w:numPr>
          <w:ilvl w:val="0"/>
          <w:numId w:val="39"/>
        </w:num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color w:val="595959" w:themeColor="text1" w:themeTint="A6"/>
          <w:sz w:val="22"/>
        </w:rPr>
        <w:t>Riduzione degli incidenti di sicurezza informatica</w:t>
      </w:r>
    </w:p>
    <w:p w14:paraId="2A4DE0D0" w14:textId="5E1238FF" w:rsidR="00E027D3" w:rsidRPr="00DE6EA7" w:rsidRDefault="00DE6EA7" w:rsidP="00DE6EA7">
      <w:pPr>
        <w:pStyle w:val="ListParagraph"/>
        <w:numPr>
          <w:ilvl w:val="0"/>
          <w:numId w:val="39"/>
        </w:numPr>
        <w:spacing w:after="24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color w:val="595959" w:themeColor="text1" w:themeTint="A6"/>
          <w:sz w:val="22"/>
        </w:rPr>
        <w:t>Aumento dell'efficienza operativa attraverso l'analisi dei dati</w:t>
      </w:r>
    </w:p>
    <w:p w14:paraId="689BB9B1" w14:textId="55AC58DD" w:rsidR="00325F19" w:rsidRPr="00C7335E" w:rsidRDefault="00325F19" w:rsidP="00A63DB9">
      <w:pPr>
        <w:rPr>
          <w:rFonts w:ascii="Century Gothic" w:hAnsi="Century Gothic" w:cs="Arial"/>
          <w:bCs/>
          <w:color w:val="595959" w:themeColor="text1" w:themeTint="A6"/>
          <w:spacing w:val="40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spacing w:val="40"/>
          <w:sz w:val="44"/>
        </w:rPr>
        <w:t>REVISIONE E</w:t>
      </w:r>
      <w:r w:rsidRPr="00C7335E">
        <w:rPr>
          <w:rFonts w:ascii="Century Gothic" w:hAnsi="Century Gothic"/>
          <w:bCs/>
          <w:color w:val="595959" w:themeColor="text1" w:themeTint="A6"/>
          <w:spacing w:val="40"/>
          <w:sz w:val="44"/>
          <w:szCs w:val="44"/>
        </w:rPr>
        <w:t xml:space="preserve"> PROCESSO DI REVISIONE</w:t>
      </w:r>
    </w:p>
    <w:p w14:paraId="5F092B41" w14:textId="7C218937" w:rsidR="00990BA9" w:rsidRDefault="00DE6EA7" w:rsidP="005D329C">
      <w:pPr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/>
          <w:color w:val="595959" w:themeColor="text1" w:themeTint="A6"/>
          <w:sz w:val="22"/>
        </w:rPr>
        <w:t>Condurre revisioni semestrali del piano strategico per l'IT, adattando progetti e strategie in risposta ai progressi tecnologici e alle esigenze aziendali e garantendo un allineamento continuo con gli obiettivi di Positive Charge.</w:t>
      </w:r>
    </w:p>
    <w:p w14:paraId="19ED94B6" w14:textId="77777777" w:rsidR="00DE6EA7" w:rsidRDefault="00DE6EA7" w:rsidP="005D329C">
      <w:pPr>
        <w:rPr>
          <w:rFonts w:ascii="Century Gothic" w:hAnsi="Century Gothic" w:cs="Arial"/>
          <w:color w:val="595959" w:themeColor="text1" w:themeTint="A6"/>
          <w:sz w:val="22"/>
          <w:szCs w:val="22"/>
        </w:rPr>
      </w:pPr>
    </w:p>
    <w:p w14:paraId="2650E6E8" w14:textId="304073DC" w:rsidR="00DE6EA7" w:rsidRPr="00DE6EA7" w:rsidRDefault="00DE6EA7" w:rsidP="00DE6EA7">
      <w:pPr>
        <w:spacing w:after="240"/>
        <w:jc w:val="center"/>
        <w:rPr>
          <w:rFonts w:ascii="Century Gothic" w:hAnsi="Century Gothic" w:cs="Arial"/>
          <w:b/>
          <w:color w:val="E2E23A"/>
          <w:sz w:val="44"/>
          <w:szCs w:val="44"/>
          <w:u w:val="single"/>
        </w:rPr>
      </w:pPr>
      <w:r>
        <w:rPr>
          <w:rFonts w:ascii="Century Gothic" w:hAnsi="Century Gothic"/>
          <w:b/>
          <w:color w:val="E2E23A"/>
          <w:spacing w:val="40"/>
          <w:sz w:val="44"/>
          <w:u w:val="single"/>
        </w:rPr>
        <w:t>CONCLUSIONE</w:t>
      </w:r>
    </w:p>
    <w:p w14:paraId="160D3AA7" w14:textId="1FC010CA" w:rsidR="00DE6EA7" w:rsidRPr="00DE6EA7" w:rsidRDefault="00DE6EA7" w:rsidP="00DE6EA7">
      <w:pPr>
        <w:spacing w:after="240"/>
        <w:rPr>
          <w:rFonts w:ascii="Century Gothic" w:hAnsi="Century Gothic" w:cs="Arial"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Questo piano strategico per l'IT getta le basi per Positive Charge per sfruttare la tecnologia come fattore chiave di innovazione ed efficienza nel settore della ricarica e della logistica dei veicoli elettrici. Concentrandoci sul cloud computing, sulla sicurezza informatica e sull'analisi dei dati, miglioreremo le nostre capacità operative e posizioneremo Positive Charge per la crescita e il successo futuri.</w:t>
      </w:r>
    </w:p>
    <w:p w14:paraId="05FB4CC2" w14:textId="77777777" w:rsidR="00990BA9" w:rsidRDefault="00990BA9">
      <w:pPr>
        <w:rPr>
          <w:rFonts w:ascii="Century Gothic" w:hAnsi="Century Gothic" w:cs="Arial"/>
          <w:b/>
          <w:color w:val="A6A6A6" w:themeColor="background1" w:themeShade="A6"/>
          <w:sz w:val="44"/>
          <w:szCs w:val="44"/>
        </w:rPr>
      </w:pPr>
      <w:r>
        <w:rPr>
          <w:rFonts w:ascii="Century Gothic" w:hAnsi="Century Gothic"/>
          <w:b/>
          <w:color w:val="A6A6A6" w:themeColor="background1" w:themeShade="A6"/>
          <w:sz w:val="44"/>
          <w:szCs w:val="44"/>
        </w:rPr>
        <w:br w:type="page"/>
      </w:r>
    </w:p>
    <w:p w14:paraId="53C6A976" w14:textId="77777777" w:rsidR="00373A2C" w:rsidRDefault="00373A2C" w:rsidP="005D329C">
      <w:pPr>
        <w:rPr>
          <w:rFonts w:ascii="Century Gothic" w:hAnsi="Century Gothic" w:cs="Arial"/>
          <w:b/>
          <w:color w:val="A6A6A6" w:themeColor="background1" w:themeShade="A6"/>
          <w:sz w:val="44"/>
          <w:szCs w:val="44"/>
        </w:rPr>
      </w:pPr>
    </w:p>
    <w:p w14:paraId="5A2235C9" w14:textId="04D6CB89" w:rsidR="00AC5287" w:rsidRPr="00AB771A" w:rsidRDefault="008E3A9E" w:rsidP="00AC5287">
      <w:pPr>
        <w:pStyle w:val="Header"/>
        <w:rPr>
          <w:rFonts w:ascii="Century Gothic" w:hAnsi="Century Gothic" w:cs="Arial"/>
          <w:b/>
          <w:color w:val="A6A6A6" w:themeColor="background1" w:themeShade="A6"/>
          <w:sz w:val="44"/>
          <w:szCs w:val="44"/>
        </w:rPr>
      </w:pPr>
      <w:r w:rsidRPr="00AB771A">
        <w:rPr>
          <w:rFonts w:ascii="Century Gothic" w:hAnsi="Century Gothic"/>
          <w:b/>
          <w:color w:val="A6A6A6" w:themeColor="background1" w:themeShade="A6"/>
          <w:sz w:val="44"/>
          <w:szCs w:val="44"/>
        </w:rPr>
        <w:tab/>
      </w: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641741" w14:paraId="0C41C656" w14:textId="77777777" w:rsidTr="00692C04">
        <w:trPr>
          <w:trHeight w:val="2687"/>
        </w:trPr>
        <w:tc>
          <w:tcPr>
            <w:tcW w:w="10669" w:type="dxa"/>
          </w:tcPr>
          <w:p w14:paraId="18C6AA7B" w14:textId="77777777" w:rsidR="00692C04" w:rsidRPr="00692C04" w:rsidRDefault="00692C04" w:rsidP="00692C0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1886EAD5" w14:textId="77777777" w:rsidR="00692C04" w:rsidRDefault="00692C04" w:rsidP="00692C04">
            <w:pPr>
              <w:rPr>
                <w:rFonts w:ascii="Century Gothic" w:hAnsi="Century Gothic" w:cs="Arial"/>
                <w:szCs w:val="20"/>
              </w:rPr>
            </w:pPr>
          </w:p>
          <w:p w14:paraId="0AEB9F0F" w14:textId="77777777" w:rsidR="00641741" w:rsidRDefault="00641741" w:rsidP="00692C0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l'accuratezza, l'affidabilità, l'idoneità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52629A72" w14:textId="77777777" w:rsidR="00641741" w:rsidRDefault="00641741" w:rsidP="005A3869">
      <w:pPr>
        <w:rPr>
          <w:rFonts w:ascii="Century Gothic" w:hAnsi="Century Gothic" w:cs="Arial"/>
          <w:sz w:val="20"/>
          <w:szCs w:val="20"/>
        </w:rPr>
      </w:pPr>
    </w:p>
    <w:p w14:paraId="2BCBF303" w14:textId="77777777" w:rsidR="005F1785" w:rsidRPr="00D3383E" w:rsidRDefault="005F1785" w:rsidP="005A3869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AC3C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C7BA9" w14:textId="77777777" w:rsidR="00447D80" w:rsidRDefault="00447D80" w:rsidP="00B01A05">
      <w:r>
        <w:separator/>
      </w:r>
    </w:p>
  </w:endnote>
  <w:endnote w:type="continuationSeparator" w:id="0">
    <w:p w14:paraId="359B329E" w14:textId="77777777" w:rsidR="00447D80" w:rsidRDefault="00447D80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58A1A" w14:textId="77777777" w:rsidR="00447D80" w:rsidRDefault="00447D80" w:rsidP="00B01A05">
      <w:r>
        <w:separator/>
      </w:r>
    </w:p>
  </w:footnote>
  <w:footnote w:type="continuationSeparator" w:id="0">
    <w:p w14:paraId="0C05E5EC" w14:textId="77777777" w:rsidR="00447D80" w:rsidRDefault="00447D80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23777"/>
    <w:multiLevelType w:val="hybridMultilevel"/>
    <w:tmpl w:val="19D67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E3C36"/>
    <w:multiLevelType w:val="hybridMultilevel"/>
    <w:tmpl w:val="465A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5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7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902AC1"/>
    <w:multiLevelType w:val="hybridMultilevel"/>
    <w:tmpl w:val="769CD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A61ACB"/>
    <w:multiLevelType w:val="hybridMultilevel"/>
    <w:tmpl w:val="1500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7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1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2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4" w15:restartNumberingAfterBreak="0">
    <w:nsid w:val="76E9238E"/>
    <w:multiLevelType w:val="hybridMultilevel"/>
    <w:tmpl w:val="8C04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640633">
    <w:abstractNumId w:val="18"/>
  </w:num>
  <w:num w:numId="2" w16cid:durableId="1127819093">
    <w:abstractNumId w:val="22"/>
  </w:num>
  <w:num w:numId="3" w16cid:durableId="950012417">
    <w:abstractNumId w:val="14"/>
  </w:num>
  <w:num w:numId="4" w16cid:durableId="1153720554">
    <w:abstractNumId w:val="26"/>
  </w:num>
  <w:num w:numId="5" w16cid:durableId="175272434">
    <w:abstractNumId w:val="33"/>
  </w:num>
  <w:num w:numId="6" w16cid:durableId="554008328">
    <w:abstractNumId w:val="5"/>
  </w:num>
  <w:num w:numId="7" w16cid:durableId="581791282">
    <w:abstractNumId w:val="16"/>
  </w:num>
  <w:num w:numId="8" w16cid:durableId="1243103372">
    <w:abstractNumId w:val="3"/>
  </w:num>
  <w:num w:numId="9" w16cid:durableId="86967304">
    <w:abstractNumId w:val="31"/>
  </w:num>
  <w:num w:numId="10" w16cid:durableId="240215351">
    <w:abstractNumId w:val="1"/>
  </w:num>
  <w:num w:numId="11" w16cid:durableId="1898860675">
    <w:abstractNumId w:val="30"/>
  </w:num>
  <w:num w:numId="12" w16cid:durableId="1066146112">
    <w:abstractNumId w:val="32"/>
    <w:lvlOverride w:ilvl="0">
      <w:lvl w:ilvl="0">
        <w:numFmt w:val="upperRoman"/>
        <w:lvlText w:val="%1."/>
        <w:lvlJc w:val="right"/>
      </w:lvl>
    </w:lvlOverride>
  </w:num>
  <w:num w:numId="13" w16cid:durableId="1765687501">
    <w:abstractNumId w:val="32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515001717">
    <w:abstractNumId w:val="27"/>
  </w:num>
  <w:num w:numId="15" w16cid:durableId="841701362">
    <w:abstractNumId w:val="6"/>
  </w:num>
  <w:num w:numId="16" w16cid:durableId="2013947494">
    <w:abstractNumId w:val="7"/>
  </w:num>
  <w:num w:numId="17" w16cid:durableId="394859089">
    <w:abstractNumId w:val="7"/>
  </w:num>
  <w:num w:numId="18" w16cid:durableId="2098478832">
    <w:abstractNumId w:val="13"/>
  </w:num>
  <w:num w:numId="19" w16cid:durableId="1332945760">
    <w:abstractNumId w:val="29"/>
  </w:num>
  <w:num w:numId="20" w16cid:durableId="1198852583">
    <w:abstractNumId w:val="35"/>
  </w:num>
  <w:num w:numId="21" w16cid:durableId="910311966">
    <w:abstractNumId w:val="9"/>
  </w:num>
  <w:num w:numId="22" w16cid:durableId="1917396455">
    <w:abstractNumId w:val="9"/>
  </w:num>
  <w:num w:numId="23" w16cid:durableId="1540823245">
    <w:abstractNumId w:val="17"/>
  </w:num>
  <w:num w:numId="24" w16cid:durableId="834413496">
    <w:abstractNumId w:val="17"/>
  </w:num>
  <w:num w:numId="25" w16cid:durableId="1288387096">
    <w:abstractNumId w:val="15"/>
  </w:num>
  <w:num w:numId="26" w16cid:durableId="1235624384">
    <w:abstractNumId w:val="15"/>
  </w:num>
  <w:num w:numId="27" w16cid:durableId="975835628">
    <w:abstractNumId w:val="8"/>
  </w:num>
  <w:num w:numId="28" w16cid:durableId="1623415530">
    <w:abstractNumId w:val="19"/>
  </w:num>
  <w:num w:numId="29" w16cid:durableId="1999845085">
    <w:abstractNumId w:val="28"/>
  </w:num>
  <w:num w:numId="30" w16cid:durableId="436218804">
    <w:abstractNumId w:val="28"/>
  </w:num>
  <w:num w:numId="31" w16cid:durableId="1155685251">
    <w:abstractNumId w:val="2"/>
  </w:num>
  <w:num w:numId="32" w16cid:durableId="1524124628">
    <w:abstractNumId w:val="20"/>
  </w:num>
  <w:num w:numId="33" w16cid:durableId="401374216">
    <w:abstractNumId w:val="20"/>
  </w:num>
  <w:num w:numId="34" w16cid:durableId="790321270">
    <w:abstractNumId w:val="10"/>
  </w:num>
  <w:num w:numId="35" w16cid:durableId="174613140">
    <w:abstractNumId w:val="4"/>
  </w:num>
  <w:num w:numId="36" w16cid:durableId="344939668">
    <w:abstractNumId w:val="24"/>
  </w:num>
  <w:num w:numId="37" w16cid:durableId="385106992">
    <w:abstractNumId w:val="23"/>
  </w:num>
  <w:num w:numId="38" w16cid:durableId="1438253496">
    <w:abstractNumId w:val="0"/>
  </w:num>
  <w:num w:numId="39" w16cid:durableId="337540898">
    <w:abstractNumId w:val="12"/>
  </w:num>
  <w:num w:numId="40" w16cid:durableId="643048622">
    <w:abstractNumId w:val="25"/>
  </w:num>
  <w:num w:numId="41" w16cid:durableId="1667660280">
    <w:abstractNumId w:val="34"/>
  </w:num>
  <w:num w:numId="42" w16cid:durableId="954824666">
    <w:abstractNumId w:val="11"/>
  </w:num>
  <w:num w:numId="43" w16cid:durableId="17823385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1A"/>
    <w:rsid w:val="000403E2"/>
    <w:rsid w:val="00043993"/>
    <w:rsid w:val="00044BBF"/>
    <w:rsid w:val="00055227"/>
    <w:rsid w:val="0006530C"/>
    <w:rsid w:val="0007196B"/>
    <w:rsid w:val="00074389"/>
    <w:rsid w:val="000809A7"/>
    <w:rsid w:val="000853D9"/>
    <w:rsid w:val="00085C2D"/>
    <w:rsid w:val="000A6039"/>
    <w:rsid w:val="000A7AEF"/>
    <w:rsid w:val="000B31AF"/>
    <w:rsid w:val="000C1664"/>
    <w:rsid w:val="000C2B36"/>
    <w:rsid w:val="000C5AA8"/>
    <w:rsid w:val="000D7167"/>
    <w:rsid w:val="00105815"/>
    <w:rsid w:val="0014046B"/>
    <w:rsid w:val="001405DC"/>
    <w:rsid w:val="001433AA"/>
    <w:rsid w:val="00144B07"/>
    <w:rsid w:val="0016761D"/>
    <w:rsid w:val="001756F3"/>
    <w:rsid w:val="00187FF1"/>
    <w:rsid w:val="001977AD"/>
    <w:rsid w:val="001B40AD"/>
    <w:rsid w:val="001D0184"/>
    <w:rsid w:val="001F2768"/>
    <w:rsid w:val="001F69A7"/>
    <w:rsid w:val="002050AC"/>
    <w:rsid w:val="00213767"/>
    <w:rsid w:val="002200FE"/>
    <w:rsid w:val="00243542"/>
    <w:rsid w:val="00244C0D"/>
    <w:rsid w:val="00285971"/>
    <w:rsid w:val="00292609"/>
    <w:rsid w:val="002B44C0"/>
    <w:rsid w:val="002D4552"/>
    <w:rsid w:val="002E0AF9"/>
    <w:rsid w:val="002F57EE"/>
    <w:rsid w:val="00304703"/>
    <w:rsid w:val="00325F19"/>
    <w:rsid w:val="003566B4"/>
    <w:rsid w:val="00373A2C"/>
    <w:rsid w:val="00384CFD"/>
    <w:rsid w:val="00384D8F"/>
    <w:rsid w:val="00385F26"/>
    <w:rsid w:val="003939B2"/>
    <w:rsid w:val="003A5B09"/>
    <w:rsid w:val="003C0DBC"/>
    <w:rsid w:val="003C7519"/>
    <w:rsid w:val="003F7C1A"/>
    <w:rsid w:val="00404144"/>
    <w:rsid w:val="00413DC8"/>
    <w:rsid w:val="00447D80"/>
    <w:rsid w:val="00464788"/>
    <w:rsid w:val="00492C36"/>
    <w:rsid w:val="004961C2"/>
    <w:rsid w:val="00497160"/>
    <w:rsid w:val="00497AB5"/>
    <w:rsid w:val="004A04C6"/>
    <w:rsid w:val="004B21E8"/>
    <w:rsid w:val="004D53F9"/>
    <w:rsid w:val="004D5595"/>
    <w:rsid w:val="005000C9"/>
    <w:rsid w:val="00503EBA"/>
    <w:rsid w:val="005109C3"/>
    <w:rsid w:val="00517F69"/>
    <w:rsid w:val="005276EE"/>
    <w:rsid w:val="00551B20"/>
    <w:rsid w:val="00556686"/>
    <w:rsid w:val="00556DD9"/>
    <w:rsid w:val="005616D8"/>
    <w:rsid w:val="005620D4"/>
    <w:rsid w:val="0056421F"/>
    <w:rsid w:val="00572F55"/>
    <w:rsid w:val="005915AC"/>
    <w:rsid w:val="005940AC"/>
    <w:rsid w:val="005954C5"/>
    <w:rsid w:val="00597565"/>
    <w:rsid w:val="005A06B3"/>
    <w:rsid w:val="005A14AE"/>
    <w:rsid w:val="005A3869"/>
    <w:rsid w:val="005B29EF"/>
    <w:rsid w:val="005B70D5"/>
    <w:rsid w:val="005D08BE"/>
    <w:rsid w:val="005D329C"/>
    <w:rsid w:val="005F1785"/>
    <w:rsid w:val="00622259"/>
    <w:rsid w:val="0062450E"/>
    <w:rsid w:val="00630C58"/>
    <w:rsid w:val="00641741"/>
    <w:rsid w:val="00656455"/>
    <w:rsid w:val="00665F5E"/>
    <w:rsid w:val="00666C1E"/>
    <w:rsid w:val="006837D4"/>
    <w:rsid w:val="00687339"/>
    <w:rsid w:val="00691D73"/>
    <w:rsid w:val="00692C04"/>
    <w:rsid w:val="006C6A0C"/>
    <w:rsid w:val="006F5384"/>
    <w:rsid w:val="00702DDD"/>
    <w:rsid w:val="00716677"/>
    <w:rsid w:val="00717895"/>
    <w:rsid w:val="00750BF6"/>
    <w:rsid w:val="00761512"/>
    <w:rsid w:val="00762989"/>
    <w:rsid w:val="00763525"/>
    <w:rsid w:val="00781CE1"/>
    <w:rsid w:val="0079125E"/>
    <w:rsid w:val="007F70A6"/>
    <w:rsid w:val="00811B86"/>
    <w:rsid w:val="0081333F"/>
    <w:rsid w:val="00817DB4"/>
    <w:rsid w:val="00840CF7"/>
    <w:rsid w:val="0086192E"/>
    <w:rsid w:val="008A5C9F"/>
    <w:rsid w:val="008D181F"/>
    <w:rsid w:val="008D1E28"/>
    <w:rsid w:val="008D3809"/>
    <w:rsid w:val="008D4662"/>
    <w:rsid w:val="008E3A9E"/>
    <w:rsid w:val="008F30DF"/>
    <w:rsid w:val="009014B6"/>
    <w:rsid w:val="0091097D"/>
    <w:rsid w:val="009168B2"/>
    <w:rsid w:val="009215F4"/>
    <w:rsid w:val="00937B38"/>
    <w:rsid w:val="00941C71"/>
    <w:rsid w:val="00970009"/>
    <w:rsid w:val="00990BA9"/>
    <w:rsid w:val="009A6136"/>
    <w:rsid w:val="009B354D"/>
    <w:rsid w:val="009D1EDB"/>
    <w:rsid w:val="009E0257"/>
    <w:rsid w:val="009E63D7"/>
    <w:rsid w:val="00A008FD"/>
    <w:rsid w:val="00A044D5"/>
    <w:rsid w:val="00A1634E"/>
    <w:rsid w:val="00A17074"/>
    <w:rsid w:val="00A40022"/>
    <w:rsid w:val="00A5039D"/>
    <w:rsid w:val="00A63DB9"/>
    <w:rsid w:val="00A77BCB"/>
    <w:rsid w:val="00AA2BE9"/>
    <w:rsid w:val="00AB30F3"/>
    <w:rsid w:val="00AB771A"/>
    <w:rsid w:val="00AC1FED"/>
    <w:rsid w:val="00AC3CA8"/>
    <w:rsid w:val="00AC5287"/>
    <w:rsid w:val="00AF39FF"/>
    <w:rsid w:val="00AF6008"/>
    <w:rsid w:val="00B00DE1"/>
    <w:rsid w:val="00B01A05"/>
    <w:rsid w:val="00B300F4"/>
    <w:rsid w:val="00B40948"/>
    <w:rsid w:val="00B50C12"/>
    <w:rsid w:val="00B622FB"/>
    <w:rsid w:val="00B753BF"/>
    <w:rsid w:val="00B7694B"/>
    <w:rsid w:val="00B90509"/>
    <w:rsid w:val="00BB0C36"/>
    <w:rsid w:val="00BC6821"/>
    <w:rsid w:val="00BD5847"/>
    <w:rsid w:val="00BF3DE2"/>
    <w:rsid w:val="00BF7662"/>
    <w:rsid w:val="00C44DFA"/>
    <w:rsid w:val="00C45C77"/>
    <w:rsid w:val="00C7335E"/>
    <w:rsid w:val="00C739B9"/>
    <w:rsid w:val="00C74202"/>
    <w:rsid w:val="00C77741"/>
    <w:rsid w:val="00C80620"/>
    <w:rsid w:val="00CA38BC"/>
    <w:rsid w:val="00CA64DD"/>
    <w:rsid w:val="00CB2E1D"/>
    <w:rsid w:val="00CE2546"/>
    <w:rsid w:val="00CE2A52"/>
    <w:rsid w:val="00CF53DC"/>
    <w:rsid w:val="00D20D28"/>
    <w:rsid w:val="00D255EF"/>
    <w:rsid w:val="00D31FD7"/>
    <w:rsid w:val="00D3383E"/>
    <w:rsid w:val="00D404D2"/>
    <w:rsid w:val="00D601A2"/>
    <w:rsid w:val="00D75350"/>
    <w:rsid w:val="00D82800"/>
    <w:rsid w:val="00DE6C8B"/>
    <w:rsid w:val="00DE6EA7"/>
    <w:rsid w:val="00DF00E4"/>
    <w:rsid w:val="00DF2717"/>
    <w:rsid w:val="00E027D3"/>
    <w:rsid w:val="00E2116E"/>
    <w:rsid w:val="00E26AB8"/>
    <w:rsid w:val="00E32C58"/>
    <w:rsid w:val="00E75D3C"/>
    <w:rsid w:val="00E8526C"/>
    <w:rsid w:val="00EB6A86"/>
    <w:rsid w:val="00F157D7"/>
    <w:rsid w:val="00F17080"/>
    <w:rsid w:val="00F26006"/>
    <w:rsid w:val="00F36F1D"/>
    <w:rsid w:val="00F40611"/>
    <w:rsid w:val="00F54105"/>
    <w:rsid w:val="00F54EB7"/>
    <w:rsid w:val="00F66C8C"/>
    <w:rsid w:val="00F918B4"/>
    <w:rsid w:val="00F9619E"/>
    <w:rsid w:val="00FA649B"/>
    <w:rsid w:val="00FB42FA"/>
    <w:rsid w:val="00FB7A35"/>
    <w:rsid w:val="00FC3406"/>
    <w:rsid w:val="00FC6B28"/>
    <w:rsid w:val="00FC6E7F"/>
    <w:rsid w:val="00FD3860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01DA1"/>
  <w14:defaultImageDpi w14:val="32767"/>
  <w15:docId w15:val="{A572FCAE-1B1F-45F9-BC79-A49356DC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1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MS-Word-Strategic-Planning-Templates_Aaron_Bannister\REF\ref2-IC-One-Page-Business-Plan-Template-10787_WORD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0FAD46-465C-4949-8588-D0C9C987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ref2-IC-One-Page-Business-Plan-Template-10787_WORD.dotx</Template>
  <TotalTime>13</TotalTime>
  <Pages>4</Pages>
  <Words>697</Words>
  <Characters>4272</Characters>
  <Application>Microsoft Office Word</Application>
  <DocSecurity>0</DocSecurity>
  <Lines>83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Bess</dc:creator>
  <cp:lastModifiedBy>min qu</cp:lastModifiedBy>
  <cp:revision>10</cp:revision>
  <cp:lastPrinted>2017-09-15T13:54:00Z</cp:lastPrinted>
  <dcterms:created xsi:type="dcterms:W3CDTF">2024-03-22T19:59:00Z</dcterms:created>
  <dcterms:modified xsi:type="dcterms:W3CDTF">2024-11-14T13:31:00Z</dcterms:modified>
</cp:coreProperties>
</file>