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0117" w14:textId="1502B5A3" w:rsidR="00A40D00" w:rsidRDefault="00661E3C" w:rsidP="00D4300C">
      <w:pPr>
        <w:rPr>
          <w:b/>
          <w:color w:val="808080" w:themeColor="background1" w:themeShade="80"/>
          <w:sz w:val="36"/>
        </w:rPr>
      </w:pPr>
      <w:r w:rsidRPr="00661E3C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DF1FF1F" wp14:editId="32E10E50">
            <wp:simplePos x="0" y="0"/>
            <wp:positionH relativeFrom="column">
              <wp:posOffset>6896100</wp:posOffset>
            </wp:positionH>
            <wp:positionV relativeFrom="paragraph">
              <wp:posOffset>-291465</wp:posOffset>
            </wp:positionV>
            <wp:extent cx="2374900" cy="428553"/>
            <wp:effectExtent l="0" t="0" r="0" b="3810"/>
            <wp:wrapNone/>
            <wp:docPr id="4238450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450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2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D3">
        <w:rPr>
          <w:b/>
          <w:color w:val="808080" w:themeColor="background1" w:themeShade="80"/>
          <w:sz w:val="36"/>
        </w:rPr>
        <w:t>MODELLO DI PIANIFICAZIONE DELLA CAPACITÀ ITIL</w:t>
      </w:r>
    </w:p>
    <w:p w14:paraId="6AE5A31F" w14:textId="77777777" w:rsidR="0093157F" w:rsidRDefault="0093157F" w:rsidP="00BF475F"/>
    <w:p w14:paraId="06AFDF51" w14:textId="77777777" w:rsidR="00C51C72" w:rsidRDefault="00C51C72" w:rsidP="00BF475F"/>
    <w:p w14:paraId="2416CE11" w14:textId="77777777" w:rsidR="00DB244A" w:rsidRDefault="00C51C72" w:rsidP="00BF475F">
      <w:r>
        <w:t>La gestione della capacità ITIL garantisce che l'attuale capacità di servizio e infrastruttura possa supportare la fornitura di servizi in base agli obiettivi concordati a livello di servizio. Inoltre, è possibile utilizzare la pianificazione della capacità per calcolare le risorse aggiuntive necessarie a sostenere la crescita futura. Questo modello fornisce le informazioni utilizzate con maggiore frequenza per la pianificazione della capacità futura.</w:t>
      </w:r>
    </w:p>
    <w:p w14:paraId="19EC1907" w14:textId="77777777" w:rsidR="00C51C72" w:rsidRDefault="00C51C72" w:rsidP="00BF475F"/>
    <w:p w14:paraId="1188D386" w14:textId="77777777" w:rsidR="00C51C72" w:rsidRPr="00C51C72" w:rsidRDefault="00C51C72" w:rsidP="00BF475F">
      <w:pPr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>PIANIFICAZIONE DELLA CAPACITÀ</w:t>
      </w:r>
    </w:p>
    <w:p w14:paraId="49277513" w14:textId="77777777" w:rsidR="00C51C72" w:rsidRPr="00DB244A" w:rsidRDefault="00C51C72" w:rsidP="00BF475F">
      <w:pPr>
        <w:rPr>
          <w:sz w:val="10"/>
          <w:szCs w:val="10"/>
        </w:rPr>
      </w:pPr>
    </w:p>
    <w:tbl>
      <w:tblPr>
        <w:tblW w:w="14579" w:type="dxa"/>
        <w:tblInd w:w="-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150"/>
        <w:gridCol w:w="2160"/>
        <w:gridCol w:w="2160"/>
        <w:gridCol w:w="3689"/>
      </w:tblGrid>
      <w:tr w:rsidR="00C51C72" w:rsidRPr="001E6381" w14:paraId="257AC080" w14:textId="77777777" w:rsidTr="00CD4620">
        <w:trPr>
          <w:trHeight w:val="720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9C338FD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SERVIZIO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16E08A5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REQUISITI DI CAPACITÀ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4E6767" w14:textId="77777777" w:rsid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% AUMENTO </w:t>
            </w:r>
          </w:p>
          <w:p w14:paraId="7BE19C80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RICHIESTO PER ANNO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193DE2A6" w14:textId="77777777" w:rsid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CAPACITÀ </w:t>
            </w:r>
          </w:p>
          <w:p w14:paraId="762CAF6D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SOGLIA</w:t>
            </w:r>
          </w:p>
        </w:tc>
        <w:tc>
          <w:tcPr>
            <w:tcW w:w="36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B52E07C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PIANO DI RISPOSTA</w:t>
            </w:r>
          </w:p>
        </w:tc>
      </w:tr>
      <w:tr w:rsidR="00C51C72" w:rsidRPr="001E6381" w14:paraId="3094DEF6" w14:textId="77777777" w:rsidTr="00CD4620">
        <w:trPr>
          <w:trHeight w:val="1440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hideMark/>
          </w:tcPr>
          <w:p w14:paraId="7137C4F7" w14:textId="77777777" w:rsidR="00C51C72" w:rsidRPr="00C51C72" w:rsidRDefault="00C51C72" w:rsidP="00C51C72">
            <w:pPr>
              <w:rPr>
                <w:sz w:val="20"/>
              </w:rPr>
            </w:pPr>
            <w:r>
              <w:rPr>
                <w:sz w:val="20"/>
              </w:rPr>
              <w:t>Archiviazione e-mail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hideMark/>
          </w:tcPr>
          <w:p w14:paraId="038C291A" w14:textId="77777777" w:rsidR="00C51C72" w:rsidRPr="00C51C72" w:rsidRDefault="00C51C72" w:rsidP="00C51C72">
            <w:pPr>
              <w:rPr>
                <w:sz w:val="20"/>
              </w:rPr>
            </w:pPr>
            <w:r>
              <w:rPr>
                <w:sz w:val="20"/>
              </w:rPr>
              <w:t>&lt;requisiti capacità&gt;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hideMark/>
          </w:tcPr>
          <w:p w14:paraId="3311772E" w14:textId="77777777" w:rsidR="00C51C72" w:rsidRPr="00C51C72" w:rsidRDefault="00C51C72" w:rsidP="00C51C72">
            <w:pPr>
              <w:rPr>
                <w:sz w:val="20"/>
              </w:rPr>
            </w:pPr>
            <w:r>
              <w:rPr>
                <w:sz w:val="20"/>
              </w:rPr>
              <w:t>&lt;aumento stimato&gt;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</w:tcPr>
          <w:p w14:paraId="4015E40C" w14:textId="77777777" w:rsidR="00C51C72" w:rsidRPr="00C51C72" w:rsidRDefault="00C51C72" w:rsidP="00C51C72">
            <w:pPr>
              <w:rPr>
                <w:sz w:val="20"/>
              </w:rPr>
            </w:pPr>
            <w:r>
              <w:rPr>
                <w:sz w:val="20"/>
              </w:rPr>
              <w:t>&lt;Quale capacità richiede una modifica?&gt;</w:t>
            </w:r>
          </w:p>
        </w:tc>
        <w:tc>
          <w:tcPr>
            <w:tcW w:w="368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</w:tcPr>
          <w:p w14:paraId="22DA6D03" w14:textId="77777777" w:rsidR="00C51C72" w:rsidRPr="00C51C72" w:rsidRDefault="00C51C72" w:rsidP="00C51C72">
            <w:pPr>
              <w:rPr>
                <w:sz w:val="20"/>
              </w:rPr>
            </w:pPr>
            <w:r>
              <w:rPr>
                <w:sz w:val="20"/>
              </w:rPr>
              <w:t>&lt;Qual è il piano quando si raggiunge una soglia?&gt;</w:t>
            </w:r>
          </w:p>
        </w:tc>
      </w:tr>
    </w:tbl>
    <w:p w14:paraId="5A3A5929" w14:textId="77777777" w:rsidR="00C51C72" w:rsidRDefault="00C51C72" w:rsidP="00197419"/>
    <w:p w14:paraId="0B7B52EA" w14:textId="77777777" w:rsidR="00C51C72" w:rsidRDefault="00C51C72" w:rsidP="00197419"/>
    <w:p w14:paraId="15288665" w14:textId="77777777" w:rsidR="00197419" w:rsidRDefault="00C51C72" w:rsidP="00197419">
      <w:r>
        <w:t>Quando si analizzano i servizi che l'IT fornisce all'azienda, valutare l'impatto dei tempi di inattività è essenziale. Questo diagramma di analisi dell'impatto aziendale può essere utilizzato per comprendere pienamente la criticità di ogni servizio e il perché.</w:t>
      </w:r>
    </w:p>
    <w:p w14:paraId="4EB88AAF" w14:textId="77777777" w:rsidR="00C51C72" w:rsidRDefault="00C51C72" w:rsidP="00197419"/>
    <w:p w14:paraId="18AD4C0B" w14:textId="77777777" w:rsidR="00C51C72" w:rsidRPr="00C51C72" w:rsidRDefault="00C51C72" w:rsidP="00197419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</w:rPr>
        <w:t>ANALISI DELL'IMPATTO AZIENDALE</w:t>
      </w:r>
    </w:p>
    <w:p w14:paraId="4B4B0E1F" w14:textId="77777777" w:rsidR="00C51C72" w:rsidRPr="00BF475F" w:rsidRDefault="00C51C72" w:rsidP="00197419">
      <w:pPr>
        <w:rPr>
          <w:sz w:val="10"/>
          <w:szCs w:val="10"/>
        </w:rPr>
      </w:pPr>
    </w:p>
    <w:tbl>
      <w:tblPr>
        <w:tblW w:w="14579" w:type="dxa"/>
        <w:tblInd w:w="-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620"/>
        <w:gridCol w:w="1530"/>
        <w:gridCol w:w="8009"/>
      </w:tblGrid>
      <w:tr w:rsidR="00C51C72" w:rsidRPr="001E6381" w14:paraId="3AB00E3E" w14:textId="77777777" w:rsidTr="00CD4620">
        <w:trPr>
          <w:trHeight w:val="720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 w:themeFill="text1" w:themeFillTint="BF"/>
            <w:vAlign w:val="center"/>
            <w:hideMark/>
          </w:tcPr>
          <w:p w14:paraId="1969AA15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SERVIZIO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04040" w:themeFill="text1" w:themeFillTint="BF"/>
            <w:vAlign w:val="center"/>
            <w:hideMark/>
          </w:tcPr>
          <w:p w14:paraId="05AEB3E9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IMPATTO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04040" w:themeFill="text1" w:themeFillTint="BF"/>
            <w:vAlign w:val="center"/>
            <w:hideMark/>
          </w:tcPr>
          <w:p w14:paraId="1A38A1AD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COSTO DELL'IMPATTO</w:t>
            </w:r>
          </w:p>
        </w:tc>
        <w:tc>
          <w:tcPr>
            <w:tcW w:w="8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04040" w:themeFill="text1" w:themeFillTint="BF"/>
            <w:vAlign w:val="center"/>
          </w:tcPr>
          <w:p w14:paraId="099F2DE3" w14:textId="77777777" w:rsidR="00C51C72" w:rsidRPr="00C51C72" w:rsidRDefault="00C51C72" w:rsidP="00C51C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DETTAGLI</w:t>
            </w:r>
          </w:p>
        </w:tc>
      </w:tr>
      <w:tr w:rsidR="00C51C72" w:rsidRPr="001E6381" w14:paraId="0539377D" w14:textId="77777777" w:rsidTr="00CD4620">
        <w:trPr>
          <w:trHeight w:val="2403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F1F43E2" w14:textId="77777777" w:rsidR="00C51C72" w:rsidRDefault="00C51C72" w:rsidP="00C51C72">
            <w:r>
              <w:t>Internet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D7BE308" w14:textId="77777777" w:rsidR="00C51C72" w:rsidRDefault="00C51C72" w:rsidP="00C51C72">
            <w:r>
              <w:t>Critico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4C19102" w14:textId="77777777" w:rsidR="00C51C72" w:rsidRDefault="00C51C72" w:rsidP="00C51C72">
            <w:r>
              <w:t>5.000 $/ora</w:t>
            </w:r>
          </w:p>
        </w:tc>
        <w:tc>
          <w:tcPr>
            <w:tcW w:w="800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</w:tcPr>
          <w:p w14:paraId="20E4D12C" w14:textId="77777777" w:rsidR="00C51C72" w:rsidRDefault="00C51C72" w:rsidP="00C51C72">
            <w:r>
              <w:t xml:space="preserve">L'intera organizzazione dipende dall'accesso a Internet durante l'orario di lavoro. Senza accesso a Internet, i reparti di vendita, supporto, contabilità e ricerca non saranno in grado di svolgere il proprio lavoro, causando un arresto delle attività che generano entrate. </w:t>
            </w:r>
          </w:p>
        </w:tc>
      </w:tr>
    </w:tbl>
    <w:p w14:paraId="7F127A37" w14:textId="77777777" w:rsidR="00C51C72" w:rsidRDefault="00C51C72" w:rsidP="001D4D30">
      <w:pPr>
        <w:pStyle w:val="Heading1"/>
        <w:spacing w:line="276" w:lineRule="auto"/>
        <w:sectPr w:rsidR="00C51C72" w:rsidSect="00197DC1">
          <w:footerReference w:type="even" r:id="rId13"/>
          <w:footerReference w:type="default" r:id="rId14"/>
          <w:pgSz w:w="15840" w:h="12240" w:orient="landscape"/>
          <w:pgMar w:top="639" w:right="720" w:bottom="720" w:left="720" w:header="720" w:footer="720" w:gutter="0"/>
          <w:cols w:space="720"/>
          <w:docGrid w:linePitch="360"/>
        </w:sectPr>
      </w:pPr>
    </w:p>
    <w:p w14:paraId="02E79EF3" w14:textId="77777777" w:rsidR="00C51C72" w:rsidRDefault="00C51C72" w:rsidP="00C51C72"/>
    <w:p w14:paraId="0AC97346" w14:textId="77777777" w:rsidR="00C51C72" w:rsidRPr="00C51C72" w:rsidRDefault="00C51C72" w:rsidP="00C51C72">
      <w:pPr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>PIANIFICAZIONE DELLA CAPACITÀ</w:t>
      </w:r>
    </w:p>
    <w:p w14:paraId="6D57F13D" w14:textId="77777777" w:rsidR="00C51C72" w:rsidRPr="00DB244A" w:rsidRDefault="00C51C72" w:rsidP="00C51C72">
      <w:pPr>
        <w:rPr>
          <w:sz w:val="10"/>
          <w:szCs w:val="10"/>
        </w:rPr>
      </w:pPr>
    </w:p>
    <w:tbl>
      <w:tblPr>
        <w:tblW w:w="14579" w:type="dxa"/>
        <w:tblInd w:w="-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150"/>
        <w:gridCol w:w="2160"/>
        <w:gridCol w:w="2160"/>
        <w:gridCol w:w="3689"/>
      </w:tblGrid>
      <w:tr w:rsidR="00C51C72" w:rsidRPr="001E6381" w14:paraId="5A747B3F" w14:textId="77777777" w:rsidTr="00C51C72">
        <w:trPr>
          <w:trHeight w:val="720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1CE9374" w14:textId="77777777" w:rsidR="00C51C72" w:rsidRPr="00C51C72" w:rsidRDefault="00C51C72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SERVIZIO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CFBC60C" w14:textId="77777777" w:rsidR="00C51C72" w:rsidRPr="00C51C72" w:rsidRDefault="00C51C72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REQUISITI DI CAPACITÀ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1E98C54" w14:textId="77777777" w:rsidR="00C51C72" w:rsidRDefault="00C51C72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% AUMENTO </w:t>
            </w:r>
          </w:p>
          <w:p w14:paraId="27B967C8" w14:textId="77777777" w:rsidR="00C51C72" w:rsidRPr="00C51C72" w:rsidRDefault="00C51C72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RICHIESTO PER ANNO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</w:tcPr>
          <w:p w14:paraId="0ECF217A" w14:textId="77777777" w:rsidR="00C51C72" w:rsidRDefault="00C51C72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CAPACITÀ </w:t>
            </w:r>
          </w:p>
          <w:p w14:paraId="3B43F32D" w14:textId="77777777" w:rsidR="00C51C72" w:rsidRPr="00C51C72" w:rsidRDefault="00C51C72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SOGLIA</w:t>
            </w:r>
          </w:p>
        </w:tc>
        <w:tc>
          <w:tcPr>
            <w:tcW w:w="368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</w:tcPr>
          <w:p w14:paraId="38D4E57B" w14:textId="77777777" w:rsidR="00C51C72" w:rsidRPr="00C51C72" w:rsidRDefault="00C51C72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PIANO DI RISPOSTA</w:t>
            </w:r>
          </w:p>
        </w:tc>
      </w:tr>
      <w:tr w:rsidR="00C51C72" w:rsidRPr="001E6381" w14:paraId="1D6B09F6" w14:textId="77777777" w:rsidTr="00C51C72">
        <w:trPr>
          <w:trHeight w:val="2160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8F861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D6893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17FE1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3C895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2E0E8" w14:textId="77777777" w:rsidR="00C51C72" w:rsidRPr="00C51C72" w:rsidRDefault="00C51C72" w:rsidP="000C08FC">
            <w:pPr>
              <w:rPr>
                <w:sz w:val="20"/>
              </w:rPr>
            </w:pPr>
          </w:p>
        </w:tc>
      </w:tr>
      <w:tr w:rsidR="00C51C72" w:rsidRPr="001E6381" w14:paraId="2AAB818D" w14:textId="77777777" w:rsidTr="00C51C72">
        <w:trPr>
          <w:trHeight w:val="2160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2E69E880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00950F1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7072EA3D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03912B50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733746FE" w14:textId="77777777" w:rsidR="00C51C72" w:rsidRPr="00C51C72" w:rsidRDefault="00C51C72" w:rsidP="000C08FC">
            <w:pPr>
              <w:rPr>
                <w:sz w:val="20"/>
              </w:rPr>
            </w:pPr>
          </w:p>
        </w:tc>
      </w:tr>
      <w:tr w:rsidR="00C51C72" w:rsidRPr="001E6381" w14:paraId="510A487E" w14:textId="77777777" w:rsidTr="00C51C72">
        <w:trPr>
          <w:trHeight w:val="2160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5BAB1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7E22E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CDC4C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C246F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E5B1D" w14:textId="77777777" w:rsidR="00C51C72" w:rsidRPr="00C51C72" w:rsidRDefault="00C51C72" w:rsidP="000C08FC">
            <w:pPr>
              <w:rPr>
                <w:sz w:val="20"/>
              </w:rPr>
            </w:pPr>
          </w:p>
        </w:tc>
      </w:tr>
      <w:tr w:rsidR="00C51C72" w:rsidRPr="001E6381" w14:paraId="6126F592" w14:textId="77777777" w:rsidTr="00C51C72">
        <w:trPr>
          <w:trHeight w:val="2160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128BFC44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1F598529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4856422C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0356861" w14:textId="77777777" w:rsidR="00C51C72" w:rsidRPr="00C51C72" w:rsidRDefault="00C51C72" w:rsidP="000C08FC">
            <w:pPr>
              <w:rPr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0BF21547" w14:textId="77777777" w:rsidR="00C51C72" w:rsidRPr="00C51C72" w:rsidRDefault="00C51C72" w:rsidP="000C08FC">
            <w:pPr>
              <w:rPr>
                <w:sz w:val="20"/>
              </w:rPr>
            </w:pPr>
          </w:p>
        </w:tc>
      </w:tr>
    </w:tbl>
    <w:p w14:paraId="2EA7C565" w14:textId="77777777" w:rsidR="00C51C72" w:rsidRDefault="00C51C72" w:rsidP="00C51C72"/>
    <w:p w14:paraId="754C87FC" w14:textId="77777777" w:rsidR="00CD4620" w:rsidRPr="00C51C72" w:rsidRDefault="00CD4620" w:rsidP="00CD4620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</w:rPr>
        <w:lastRenderedPageBreak/>
        <w:t>ANALISI DELL'IMPATTO AZIENDALE</w:t>
      </w:r>
    </w:p>
    <w:p w14:paraId="1409B5A7" w14:textId="77777777" w:rsidR="00CD4620" w:rsidRPr="00BF475F" w:rsidRDefault="00CD4620" w:rsidP="00CD4620">
      <w:pPr>
        <w:rPr>
          <w:sz w:val="10"/>
          <w:szCs w:val="10"/>
        </w:rPr>
      </w:pPr>
    </w:p>
    <w:tbl>
      <w:tblPr>
        <w:tblW w:w="14579" w:type="dxa"/>
        <w:tblInd w:w="-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620"/>
        <w:gridCol w:w="1530"/>
        <w:gridCol w:w="8009"/>
      </w:tblGrid>
      <w:tr w:rsidR="00CD4620" w:rsidRPr="001E6381" w14:paraId="26F3E607" w14:textId="77777777" w:rsidTr="00CD4620">
        <w:trPr>
          <w:trHeight w:val="720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04040" w:themeFill="text1" w:themeFillTint="BF"/>
            <w:vAlign w:val="center"/>
            <w:hideMark/>
          </w:tcPr>
          <w:p w14:paraId="538A78BF" w14:textId="77777777" w:rsidR="00CD4620" w:rsidRPr="00C51C72" w:rsidRDefault="00CD4620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SERVIZIO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04040" w:themeFill="text1" w:themeFillTint="BF"/>
            <w:vAlign w:val="center"/>
            <w:hideMark/>
          </w:tcPr>
          <w:p w14:paraId="02471041" w14:textId="77777777" w:rsidR="00CD4620" w:rsidRPr="00C51C72" w:rsidRDefault="00CD4620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IMPATTO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04040" w:themeFill="text1" w:themeFillTint="BF"/>
            <w:vAlign w:val="center"/>
            <w:hideMark/>
          </w:tcPr>
          <w:p w14:paraId="7B47516C" w14:textId="77777777" w:rsidR="00CD4620" w:rsidRPr="00C51C72" w:rsidRDefault="00CD4620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COSTO DELL'IMPATTO</w:t>
            </w:r>
          </w:p>
        </w:tc>
        <w:tc>
          <w:tcPr>
            <w:tcW w:w="800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04040" w:themeFill="text1" w:themeFillTint="BF"/>
            <w:vAlign w:val="center"/>
          </w:tcPr>
          <w:p w14:paraId="7A0B84D5" w14:textId="77777777" w:rsidR="00CD4620" w:rsidRPr="00C51C72" w:rsidRDefault="00CD4620" w:rsidP="000C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DETTAGLI</w:t>
            </w:r>
          </w:p>
        </w:tc>
      </w:tr>
      <w:tr w:rsidR="00CD4620" w:rsidRPr="001E6381" w14:paraId="2A94AF45" w14:textId="77777777" w:rsidTr="00CD4620">
        <w:trPr>
          <w:trHeight w:val="2232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CC5DC0" w14:textId="77777777" w:rsidR="00CD4620" w:rsidRDefault="00CD4620" w:rsidP="000C08FC"/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58C55" w14:textId="77777777" w:rsidR="00CD4620" w:rsidRDefault="00CD4620" w:rsidP="000C08FC"/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55CD6" w14:textId="77777777" w:rsidR="00CD4620" w:rsidRDefault="00CD4620" w:rsidP="000C08FC"/>
        </w:tc>
        <w:tc>
          <w:tcPr>
            <w:tcW w:w="8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77446" w14:textId="77777777" w:rsidR="00CD4620" w:rsidRDefault="00CD4620" w:rsidP="000C08FC"/>
        </w:tc>
      </w:tr>
      <w:tr w:rsidR="00CD4620" w:rsidRPr="001E6381" w14:paraId="6D18F852" w14:textId="77777777" w:rsidTr="00CD4620">
        <w:trPr>
          <w:trHeight w:val="2232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4BE10" w14:textId="77777777" w:rsidR="00CD4620" w:rsidRDefault="00CD4620" w:rsidP="000C08FC"/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CC370B" w14:textId="77777777" w:rsidR="00CD4620" w:rsidRDefault="00CD4620" w:rsidP="000C08FC"/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68628F" w14:textId="77777777" w:rsidR="00CD4620" w:rsidRDefault="00CD4620" w:rsidP="000C08FC"/>
        </w:tc>
        <w:tc>
          <w:tcPr>
            <w:tcW w:w="8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99DF51" w14:textId="77777777" w:rsidR="00CD4620" w:rsidRDefault="00CD4620" w:rsidP="000C08FC"/>
        </w:tc>
      </w:tr>
      <w:tr w:rsidR="00CD4620" w:rsidRPr="001E6381" w14:paraId="1FD9D9C5" w14:textId="77777777" w:rsidTr="00CD4620">
        <w:trPr>
          <w:trHeight w:val="2232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B5015" w14:textId="77777777" w:rsidR="00CD4620" w:rsidRDefault="00CD4620" w:rsidP="000C08FC"/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C1DDA" w14:textId="77777777" w:rsidR="00CD4620" w:rsidRDefault="00CD4620" w:rsidP="000C08FC"/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22783" w14:textId="77777777" w:rsidR="00CD4620" w:rsidRDefault="00CD4620" w:rsidP="000C08FC"/>
        </w:tc>
        <w:tc>
          <w:tcPr>
            <w:tcW w:w="8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294F9" w14:textId="77777777" w:rsidR="00CD4620" w:rsidRDefault="00CD4620" w:rsidP="000C08FC"/>
        </w:tc>
      </w:tr>
      <w:tr w:rsidR="00CD4620" w:rsidRPr="001E6381" w14:paraId="2B51C500" w14:textId="77777777" w:rsidTr="00CD4620">
        <w:trPr>
          <w:trHeight w:val="2232"/>
        </w:trPr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840EB8" w14:textId="77777777" w:rsidR="00CD4620" w:rsidRDefault="00CD4620" w:rsidP="000C08FC"/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356C80" w14:textId="77777777" w:rsidR="00CD4620" w:rsidRDefault="00CD4620" w:rsidP="000C08FC"/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906B87" w14:textId="77777777" w:rsidR="00CD4620" w:rsidRDefault="00CD4620" w:rsidP="000C08FC"/>
        </w:tc>
        <w:tc>
          <w:tcPr>
            <w:tcW w:w="8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79EBA4" w14:textId="77777777" w:rsidR="00CD4620" w:rsidRDefault="00CD4620" w:rsidP="000C08FC"/>
        </w:tc>
      </w:tr>
    </w:tbl>
    <w:p w14:paraId="7AFF6358" w14:textId="77777777" w:rsidR="00CD4620" w:rsidRPr="00CD4620" w:rsidRDefault="00CD4620" w:rsidP="00CD4620">
      <w:pPr>
        <w:sectPr w:rsidR="00CD4620" w:rsidRPr="00CD4620" w:rsidSect="00197DC1">
          <w:pgSz w:w="15840" w:h="12240" w:orient="landscape"/>
          <w:pgMar w:top="513" w:right="720" w:bottom="720" w:left="720" w:header="720" w:footer="720" w:gutter="0"/>
          <w:cols w:space="720"/>
          <w:docGrid w:linePitch="360"/>
        </w:sectPr>
      </w:pPr>
    </w:p>
    <w:p w14:paraId="329318B6" w14:textId="77777777" w:rsidR="003E1C6F" w:rsidRDefault="003E1C6F" w:rsidP="008E5F44"/>
    <w:p w14:paraId="5027CD9E" w14:textId="77777777" w:rsidR="00C51C72" w:rsidRPr="008E5F44" w:rsidRDefault="00C51C72" w:rsidP="008E5F44"/>
    <w:p w14:paraId="2207F586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4B3CBDBB" w14:textId="77777777" w:rsidTr="001C28B8">
        <w:trPr>
          <w:trHeight w:val="2663"/>
        </w:trPr>
        <w:tc>
          <w:tcPr>
            <w:tcW w:w="10583" w:type="dxa"/>
          </w:tcPr>
          <w:p w14:paraId="2662E854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3B779F67" w14:textId="77777777" w:rsidR="00FF51C2" w:rsidRPr="00491059" w:rsidRDefault="00FF51C2" w:rsidP="00D4300C"/>
          <w:p w14:paraId="772B17CB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44799DA" w14:textId="77777777" w:rsidR="006B5ECE" w:rsidRPr="00491059" w:rsidRDefault="006B5ECE" w:rsidP="00D4300C"/>
    <w:sectPr w:rsidR="006B5ECE" w:rsidRPr="00491059" w:rsidSect="00197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5FD1" w14:textId="77777777" w:rsidR="00197DC1" w:rsidRDefault="00197DC1" w:rsidP="00D4300C">
      <w:r>
        <w:separator/>
      </w:r>
    </w:p>
  </w:endnote>
  <w:endnote w:type="continuationSeparator" w:id="0">
    <w:p w14:paraId="494745D8" w14:textId="77777777" w:rsidR="00197DC1" w:rsidRDefault="00197DC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7029364"/>
      <w:docPartObj>
        <w:docPartGallery w:val="Page Numbers (Bottom of Page)"/>
        <w:docPartUnique/>
      </w:docPartObj>
    </w:sdtPr>
    <w:sdtContent>
      <w:p w14:paraId="1EF2FF7E" w14:textId="77777777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03EB1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9B9" w14:textId="77777777" w:rsidR="00A82277" w:rsidRDefault="00A82277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202D" w14:textId="77777777" w:rsidR="00197DC1" w:rsidRDefault="00197DC1" w:rsidP="00D4300C">
      <w:r>
        <w:separator/>
      </w:r>
    </w:p>
  </w:footnote>
  <w:footnote w:type="continuationSeparator" w:id="0">
    <w:p w14:paraId="0B3CFCBD" w14:textId="77777777" w:rsidR="00197DC1" w:rsidRDefault="00197DC1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31508">
    <w:abstractNumId w:val="9"/>
  </w:num>
  <w:num w:numId="2" w16cid:durableId="1298488595">
    <w:abstractNumId w:val="8"/>
  </w:num>
  <w:num w:numId="3" w16cid:durableId="1873571627">
    <w:abstractNumId w:val="7"/>
  </w:num>
  <w:num w:numId="4" w16cid:durableId="1510830058">
    <w:abstractNumId w:val="6"/>
  </w:num>
  <w:num w:numId="5" w16cid:durableId="96365893">
    <w:abstractNumId w:val="5"/>
  </w:num>
  <w:num w:numId="6" w16cid:durableId="692145810">
    <w:abstractNumId w:val="4"/>
  </w:num>
  <w:num w:numId="7" w16cid:durableId="1847596982">
    <w:abstractNumId w:val="3"/>
  </w:num>
  <w:num w:numId="8" w16cid:durableId="1152141444">
    <w:abstractNumId w:val="2"/>
  </w:num>
  <w:num w:numId="9" w16cid:durableId="2141145221">
    <w:abstractNumId w:val="1"/>
  </w:num>
  <w:num w:numId="10" w16cid:durableId="1478380578">
    <w:abstractNumId w:val="0"/>
  </w:num>
  <w:num w:numId="11" w16cid:durableId="2081445323">
    <w:abstractNumId w:val="30"/>
  </w:num>
  <w:num w:numId="12" w16cid:durableId="1836603198">
    <w:abstractNumId w:val="42"/>
  </w:num>
  <w:num w:numId="13" w16cid:durableId="1366100714">
    <w:abstractNumId w:val="39"/>
  </w:num>
  <w:num w:numId="14" w16cid:durableId="1017080223">
    <w:abstractNumId w:val="23"/>
  </w:num>
  <w:num w:numId="15" w16cid:durableId="1155991093">
    <w:abstractNumId w:val="19"/>
  </w:num>
  <w:num w:numId="16" w16cid:durableId="581918181">
    <w:abstractNumId w:val="27"/>
  </w:num>
  <w:num w:numId="17" w16cid:durableId="1510826586">
    <w:abstractNumId w:val="33"/>
  </w:num>
  <w:num w:numId="18" w16cid:durableId="836961988">
    <w:abstractNumId w:val="32"/>
  </w:num>
  <w:num w:numId="19" w16cid:durableId="1017123773">
    <w:abstractNumId w:val="16"/>
  </w:num>
  <w:num w:numId="20" w16cid:durableId="1679961015">
    <w:abstractNumId w:val="41"/>
  </w:num>
  <w:num w:numId="21" w16cid:durableId="66268523">
    <w:abstractNumId w:val="35"/>
  </w:num>
  <w:num w:numId="22" w16cid:durableId="752513974">
    <w:abstractNumId w:val="14"/>
  </w:num>
  <w:num w:numId="23" w16cid:durableId="565528361">
    <w:abstractNumId w:val="17"/>
  </w:num>
  <w:num w:numId="24" w16cid:durableId="710882966">
    <w:abstractNumId w:val="10"/>
  </w:num>
  <w:num w:numId="25" w16cid:durableId="1084952595">
    <w:abstractNumId w:val="25"/>
  </w:num>
  <w:num w:numId="26" w16cid:durableId="614601761">
    <w:abstractNumId w:val="13"/>
  </w:num>
  <w:num w:numId="27" w16cid:durableId="68307450">
    <w:abstractNumId w:val="18"/>
  </w:num>
  <w:num w:numId="28" w16cid:durableId="175124117">
    <w:abstractNumId w:val="24"/>
  </w:num>
  <w:num w:numId="29" w16cid:durableId="912399109">
    <w:abstractNumId w:val="21"/>
  </w:num>
  <w:num w:numId="30" w16cid:durableId="370111067">
    <w:abstractNumId w:val="38"/>
  </w:num>
  <w:num w:numId="31" w16cid:durableId="1820539229">
    <w:abstractNumId w:val="36"/>
  </w:num>
  <w:num w:numId="32" w16cid:durableId="753936414">
    <w:abstractNumId w:val="12"/>
  </w:num>
  <w:num w:numId="33" w16cid:durableId="2076656561">
    <w:abstractNumId w:val="20"/>
  </w:num>
  <w:num w:numId="34" w16cid:durableId="243926713">
    <w:abstractNumId w:val="40"/>
  </w:num>
  <w:num w:numId="35" w16cid:durableId="421532353">
    <w:abstractNumId w:val="29"/>
  </w:num>
  <w:num w:numId="36" w16cid:durableId="1060909809">
    <w:abstractNumId w:val="28"/>
  </w:num>
  <w:num w:numId="37" w16cid:durableId="1803691880">
    <w:abstractNumId w:val="31"/>
  </w:num>
  <w:num w:numId="38" w16cid:durableId="1188107145">
    <w:abstractNumId w:val="26"/>
  </w:num>
  <w:num w:numId="39" w16cid:durableId="593906231">
    <w:abstractNumId w:val="15"/>
  </w:num>
  <w:num w:numId="40" w16cid:durableId="310211970">
    <w:abstractNumId w:val="37"/>
  </w:num>
  <w:num w:numId="41" w16cid:durableId="731931303">
    <w:abstractNumId w:val="34"/>
  </w:num>
  <w:num w:numId="42" w16cid:durableId="345834781">
    <w:abstractNumId w:val="22"/>
  </w:num>
  <w:num w:numId="43" w16cid:durableId="987366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32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16A39"/>
    <w:rsid w:val="00121D51"/>
    <w:rsid w:val="001314A7"/>
    <w:rsid w:val="001434BB"/>
    <w:rsid w:val="001472A1"/>
    <w:rsid w:val="00147F93"/>
    <w:rsid w:val="00184FCB"/>
    <w:rsid w:val="001962A6"/>
    <w:rsid w:val="00197419"/>
    <w:rsid w:val="00197DC1"/>
    <w:rsid w:val="001B6E94"/>
    <w:rsid w:val="001C28B8"/>
    <w:rsid w:val="001C5E1F"/>
    <w:rsid w:val="001C7751"/>
    <w:rsid w:val="001D1964"/>
    <w:rsid w:val="001D4840"/>
    <w:rsid w:val="001D4D30"/>
    <w:rsid w:val="001E1E48"/>
    <w:rsid w:val="001E6381"/>
    <w:rsid w:val="001E7E8C"/>
    <w:rsid w:val="00247CBE"/>
    <w:rsid w:val="002507EE"/>
    <w:rsid w:val="0025708E"/>
    <w:rsid w:val="00271938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6274A"/>
    <w:rsid w:val="0036595F"/>
    <w:rsid w:val="003715EE"/>
    <w:rsid w:val="003719B8"/>
    <w:rsid w:val="003745D0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277CE"/>
    <w:rsid w:val="004509F5"/>
    <w:rsid w:val="00454EBA"/>
    <w:rsid w:val="0045552B"/>
    <w:rsid w:val="004630AB"/>
    <w:rsid w:val="00482909"/>
    <w:rsid w:val="00491059"/>
    <w:rsid w:val="00492BF1"/>
    <w:rsid w:val="00493BCE"/>
    <w:rsid w:val="004952F9"/>
    <w:rsid w:val="004B24D5"/>
    <w:rsid w:val="004B4C32"/>
    <w:rsid w:val="004D59AF"/>
    <w:rsid w:val="004E7C78"/>
    <w:rsid w:val="00512412"/>
    <w:rsid w:val="0052590F"/>
    <w:rsid w:val="00531F82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61E3C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C027C"/>
    <w:rsid w:val="008C2A41"/>
    <w:rsid w:val="008C59BA"/>
    <w:rsid w:val="008D5BD1"/>
    <w:rsid w:val="008E525C"/>
    <w:rsid w:val="008E5F44"/>
    <w:rsid w:val="008F0F82"/>
    <w:rsid w:val="00913151"/>
    <w:rsid w:val="009152A8"/>
    <w:rsid w:val="009212F2"/>
    <w:rsid w:val="0093157F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41C59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8500C"/>
    <w:rsid w:val="00BA1CA5"/>
    <w:rsid w:val="00BA2F32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51C72"/>
    <w:rsid w:val="00C92568"/>
    <w:rsid w:val="00CA2CD6"/>
    <w:rsid w:val="00CB3106"/>
    <w:rsid w:val="00CB4DF0"/>
    <w:rsid w:val="00CB7FA5"/>
    <w:rsid w:val="00CD3675"/>
    <w:rsid w:val="00CD4620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51467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F039E"/>
  <w15:docId w15:val="{B24C9DC7-FB1A-A240-B951-8B7CDD0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0&amp;utm_language=IT&amp;utm_source=template-word&amp;utm_medium=content&amp;utm_campaign=ic-ITIL+Capacity+Planning-word-37970-it&amp;lpa=ic+ITIL+Capacity+Planning+word+3797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9F9239-28D0-4026-BA2B-969BE925C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2023-10-10T08:35:00Z</cp:lastPrinted>
  <dcterms:created xsi:type="dcterms:W3CDTF">2023-09-07T00:30:00Z</dcterms:created>
  <dcterms:modified xsi:type="dcterms:W3CDTF">2024-03-08T19:34:00Z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